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2722896"/>
        <w:docPartObj>
          <w:docPartGallery w:val="Cover Pages"/>
          <w:docPartUnique/>
        </w:docPartObj>
      </w:sdtPr>
      <w:sdtContent>
        <w:p w14:paraId="2C30E13A" w14:textId="28AF3A8C" w:rsidR="001C4884" w:rsidRDefault="001C4884">
          <w:r>
            <w:rPr>
              <w:noProof/>
            </w:rPr>
            <mc:AlternateContent>
              <mc:Choice Requires="wpg">
                <w:drawing>
                  <wp:anchor distT="0" distB="0" distL="114300" distR="114300" simplePos="0" relativeHeight="251659264" behindDoc="1" locked="0" layoutInCell="1" allowOverlap="1" wp14:anchorId="6A3D3819" wp14:editId="499E029B">
                    <wp:simplePos x="0" y="0"/>
                    <wp:positionH relativeFrom="page">
                      <wp:align>center</wp:align>
                    </wp:positionH>
                    <wp:positionV relativeFrom="page">
                      <wp:align>center</wp:align>
                    </wp:positionV>
                    <wp:extent cx="6864824" cy="9123528"/>
                    <wp:effectExtent l="0" t="0" r="2540" b="635"/>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39D5B" w14:textId="77777777" w:rsidR="001C4884" w:rsidRDefault="001C4884">
                                  <w:pPr>
                                    <w:pStyle w:val="NoSpacing"/>
                                    <w:spacing w:before="120"/>
                                    <w:jc w:val="center"/>
                                    <w:rPr>
                                      <w:caps/>
                                      <w:color w:val="FFFFFF" w:themeColor="background1"/>
                                    </w:rPr>
                                  </w:pPr>
                                  <w:r>
                                    <w:rPr>
                                      <w:noProof/>
                                    </w:rPr>
                                    <w:drawing>
                                      <wp:inline distT="0" distB="0" distL="0" distR="0" wp14:anchorId="5EFB8443" wp14:editId="720DDBD9">
                                        <wp:extent cx="5810250" cy="1829538"/>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544" cy="1877178"/>
                                                </a:xfrm>
                                                <a:prstGeom prst="rect">
                                                  <a:avLst/>
                                                </a:prstGeom>
                                                <a:noFill/>
                                                <a:ln>
                                                  <a:noFill/>
                                                </a:ln>
                                              </pic:spPr>
                                            </pic:pic>
                                          </a:graphicData>
                                        </a:graphic>
                                      </wp:inline>
                                    </w:drawing>
                                  </w:r>
                                </w:p>
                                <w:p w14:paraId="4B2E76D5" w14:textId="7197DAA5" w:rsidR="001C4884" w:rsidRDefault="001C4884">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P.O. BOX 1870, GRAY, LA 70359</w:t>
                                      </w:r>
                                    </w:sdtContent>
                                  </w:sdt>
                                </w:p>
                                <w:p w14:paraId="7F4ACA54" w14:textId="5778D471" w:rsidR="001C4884" w:rsidRDefault="001C4884">
                                  <w:pPr>
                                    <w:pStyle w:val="NoSpacing"/>
                                    <w:spacing w:before="120"/>
                                    <w:jc w:val="center"/>
                                    <w:rPr>
                                      <w:color w:val="FFFFFF" w:themeColor="background1"/>
                                    </w:rPr>
                                  </w:pPr>
                                  <w:r>
                                    <w:rPr>
                                      <w:color w:val="FFFFFF" w:themeColor="background1"/>
                                    </w:rPr>
                                    <w:t>(985)851-2900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D99F3BD" w14:textId="0090F092" w:rsidR="001C4884" w:rsidRPr="001C4884" w:rsidRDefault="001C4884">
                                      <w:pPr>
                                        <w:pStyle w:val="NoSpacing"/>
                                        <w:jc w:val="center"/>
                                        <w:rPr>
                                          <w:rFonts w:asciiTheme="majorHAnsi" w:eastAsiaTheme="majorEastAsia" w:hAnsiTheme="majorHAnsi" w:cstheme="majorBidi"/>
                                          <w:caps/>
                                          <w:color w:val="4472C4" w:themeColor="accent1"/>
                                          <w:sz w:val="52"/>
                                          <w:szCs w:val="52"/>
                                        </w:rPr>
                                      </w:pPr>
                                      <w:r w:rsidRPr="001C4884">
                                        <w:rPr>
                                          <w:rFonts w:asciiTheme="majorHAnsi" w:eastAsiaTheme="majorEastAsia" w:hAnsiTheme="majorHAnsi" w:cstheme="majorBidi"/>
                                          <w:caps/>
                                          <w:color w:val="4472C4" w:themeColor="accent1"/>
                                          <w:sz w:val="52"/>
                                          <w:szCs w:val="52"/>
                                        </w:rPr>
                                        <w:t>Safe Streets</w:t>
                                      </w:r>
                                      <w:r w:rsidRPr="001C4884">
                                        <w:rPr>
                                          <w:rFonts w:asciiTheme="majorHAnsi" w:eastAsiaTheme="majorEastAsia" w:hAnsiTheme="majorHAnsi" w:cstheme="majorBidi"/>
                                          <w:caps/>
                                          <w:color w:val="4472C4" w:themeColor="accent1"/>
                                          <w:sz w:val="52"/>
                                          <w:szCs w:val="52"/>
                                        </w:rPr>
                                        <w:t xml:space="preserve"> fOR aLL</w:t>
                                      </w:r>
                                      <w:r w:rsidRPr="001C4884">
                                        <w:rPr>
                                          <w:rFonts w:asciiTheme="majorHAnsi" w:eastAsiaTheme="majorEastAsia" w:hAnsiTheme="majorHAnsi" w:cstheme="majorBidi"/>
                                          <w:caps/>
                                          <w:color w:val="4472C4" w:themeColor="accent1"/>
                                          <w:sz w:val="52"/>
                                          <w:szCs w:val="52"/>
                                        </w:rPr>
                                        <w:t>: A Comprehensive Regional Safety Action Plan</w:t>
                                      </w:r>
                                    </w:p>
                                  </w:sdtContent>
                                </w:sdt>
                                <w:p w14:paraId="1CE0FF67" w14:textId="21C661AE" w:rsidR="001C4884" w:rsidRPr="001C4884" w:rsidRDefault="001C4884">
                                  <w:pPr>
                                    <w:pStyle w:val="NoSpacing"/>
                                    <w:jc w:val="center"/>
                                    <w:rPr>
                                      <w:rFonts w:asciiTheme="majorHAnsi" w:eastAsiaTheme="majorEastAsia" w:hAnsiTheme="majorHAnsi" w:cstheme="majorBidi"/>
                                      <w:caps/>
                                      <w:color w:val="4472C4" w:themeColor="accent1"/>
                                      <w:sz w:val="56"/>
                                      <w:szCs w:val="56"/>
                                    </w:rPr>
                                  </w:pPr>
                                  <w:r w:rsidRPr="001C4884">
                                    <w:rPr>
                                      <w:rFonts w:asciiTheme="majorHAnsi" w:eastAsiaTheme="majorEastAsia" w:hAnsiTheme="majorHAnsi" w:cstheme="majorBidi"/>
                                      <w:caps/>
                                      <w:color w:val="4472C4" w:themeColor="accent1"/>
                                      <w:sz w:val="56"/>
                                      <w:szCs w:val="56"/>
                                    </w:rPr>
                                    <w:t>rEQUEST FOR Qualifications</w:t>
                                  </w:r>
                                </w:p>
                                <w:p w14:paraId="2BA8B35D" w14:textId="77777777" w:rsidR="001C4884" w:rsidRDefault="001C4884">
                                  <w:pPr>
                                    <w:pStyle w:val="NoSpacing"/>
                                    <w:jc w:val="center"/>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A3D3819" id="Group 62"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9439D5B" w14:textId="77777777" w:rsidR="001C4884" w:rsidRDefault="001C4884">
                            <w:pPr>
                              <w:pStyle w:val="NoSpacing"/>
                              <w:spacing w:before="120"/>
                              <w:jc w:val="center"/>
                              <w:rPr>
                                <w:caps/>
                                <w:color w:val="FFFFFF" w:themeColor="background1"/>
                              </w:rPr>
                            </w:pPr>
                            <w:r>
                              <w:rPr>
                                <w:noProof/>
                              </w:rPr>
                              <w:drawing>
                                <wp:inline distT="0" distB="0" distL="0" distR="0" wp14:anchorId="5EFB8443" wp14:editId="720DDBD9">
                                  <wp:extent cx="5810250" cy="1829538"/>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544" cy="1877178"/>
                                          </a:xfrm>
                                          <a:prstGeom prst="rect">
                                            <a:avLst/>
                                          </a:prstGeom>
                                          <a:noFill/>
                                          <a:ln>
                                            <a:noFill/>
                                          </a:ln>
                                        </pic:spPr>
                                      </pic:pic>
                                    </a:graphicData>
                                  </a:graphic>
                                </wp:inline>
                              </w:drawing>
                            </w:r>
                          </w:p>
                          <w:p w14:paraId="4B2E76D5" w14:textId="7197DAA5" w:rsidR="001C4884" w:rsidRDefault="001C4884">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P.O. BOX 1870, GRAY, LA 70359</w:t>
                                </w:r>
                              </w:sdtContent>
                            </w:sdt>
                          </w:p>
                          <w:p w14:paraId="7F4ACA54" w14:textId="5778D471" w:rsidR="001C4884" w:rsidRDefault="001C4884">
                            <w:pPr>
                              <w:pStyle w:val="NoSpacing"/>
                              <w:spacing w:before="120"/>
                              <w:jc w:val="center"/>
                              <w:rPr>
                                <w:color w:val="FFFFFF" w:themeColor="background1"/>
                              </w:rPr>
                            </w:pPr>
                            <w:r>
                              <w:rPr>
                                <w:color w:val="FFFFFF" w:themeColor="background1"/>
                              </w:rPr>
                              <w:t>(985)851-2900</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D99F3BD" w14:textId="0090F092" w:rsidR="001C4884" w:rsidRPr="001C4884" w:rsidRDefault="001C4884">
                                <w:pPr>
                                  <w:pStyle w:val="NoSpacing"/>
                                  <w:jc w:val="center"/>
                                  <w:rPr>
                                    <w:rFonts w:asciiTheme="majorHAnsi" w:eastAsiaTheme="majorEastAsia" w:hAnsiTheme="majorHAnsi" w:cstheme="majorBidi"/>
                                    <w:caps/>
                                    <w:color w:val="4472C4" w:themeColor="accent1"/>
                                    <w:sz w:val="52"/>
                                    <w:szCs w:val="52"/>
                                  </w:rPr>
                                </w:pPr>
                                <w:r w:rsidRPr="001C4884">
                                  <w:rPr>
                                    <w:rFonts w:asciiTheme="majorHAnsi" w:eastAsiaTheme="majorEastAsia" w:hAnsiTheme="majorHAnsi" w:cstheme="majorBidi"/>
                                    <w:caps/>
                                    <w:color w:val="4472C4" w:themeColor="accent1"/>
                                    <w:sz w:val="52"/>
                                    <w:szCs w:val="52"/>
                                  </w:rPr>
                                  <w:t>Safe Streets</w:t>
                                </w:r>
                                <w:r w:rsidRPr="001C4884">
                                  <w:rPr>
                                    <w:rFonts w:asciiTheme="majorHAnsi" w:eastAsiaTheme="majorEastAsia" w:hAnsiTheme="majorHAnsi" w:cstheme="majorBidi"/>
                                    <w:caps/>
                                    <w:color w:val="4472C4" w:themeColor="accent1"/>
                                    <w:sz w:val="52"/>
                                    <w:szCs w:val="52"/>
                                  </w:rPr>
                                  <w:t xml:space="preserve"> fOR aLL</w:t>
                                </w:r>
                                <w:r w:rsidRPr="001C4884">
                                  <w:rPr>
                                    <w:rFonts w:asciiTheme="majorHAnsi" w:eastAsiaTheme="majorEastAsia" w:hAnsiTheme="majorHAnsi" w:cstheme="majorBidi"/>
                                    <w:caps/>
                                    <w:color w:val="4472C4" w:themeColor="accent1"/>
                                    <w:sz w:val="52"/>
                                    <w:szCs w:val="52"/>
                                  </w:rPr>
                                  <w:t>: A Comprehensive Regional Safety Action Plan</w:t>
                                </w:r>
                              </w:p>
                            </w:sdtContent>
                          </w:sdt>
                          <w:p w14:paraId="1CE0FF67" w14:textId="21C661AE" w:rsidR="001C4884" w:rsidRPr="001C4884" w:rsidRDefault="001C4884">
                            <w:pPr>
                              <w:pStyle w:val="NoSpacing"/>
                              <w:jc w:val="center"/>
                              <w:rPr>
                                <w:rFonts w:asciiTheme="majorHAnsi" w:eastAsiaTheme="majorEastAsia" w:hAnsiTheme="majorHAnsi" w:cstheme="majorBidi"/>
                                <w:caps/>
                                <w:color w:val="4472C4" w:themeColor="accent1"/>
                                <w:sz w:val="56"/>
                                <w:szCs w:val="56"/>
                              </w:rPr>
                            </w:pPr>
                            <w:r w:rsidRPr="001C4884">
                              <w:rPr>
                                <w:rFonts w:asciiTheme="majorHAnsi" w:eastAsiaTheme="majorEastAsia" w:hAnsiTheme="majorHAnsi" w:cstheme="majorBidi"/>
                                <w:caps/>
                                <w:color w:val="4472C4" w:themeColor="accent1"/>
                                <w:sz w:val="56"/>
                                <w:szCs w:val="56"/>
                              </w:rPr>
                              <w:t>rEQUEST FOR Qualifications</w:t>
                            </w:r>
                          </w:p>
                          <w:p w14:paraId="2BA8B35D" w14:textId="77777777" w:rsidR="001C4884" w:rsidRDefault="001C4884">
                            <w:pPr>
                              <w:pStyle w:val="NoSpacing"/>
                              <w:jc w:val="center"/>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p>
        <w:p w14:paraId="4BF5D0C0" w14:textId="084A0277" w:rsidR="001C4884" w:rsidRDefault="001C4884">
          <w:r>
            <w:br w:type="page"/>
          </w:r>
        </w:p>
      </w:sdtContent>
    </w:sdt>
    <w:p w14:paraId="5173C7B7" w14:textId="77777777" w:rsidR="001C4884" w:rsidRDefault="001C4884" w:rsidP="001C4884">
      <w:pPr>
        <w:tabs>
          <w:tab w:val="left" w:pos="285"/>
          <w:tab w:val="center" w:pos="5400"/>
        </w:tabs>
        <w:rPr>
          <w:sz w:val="28"/>
          <w:szCs w:val="28"/>
        </w:rPr>
      </w:pPr>
      <w:r>
        <w:rPr>
          <w:sz w:val="28"/>
          <w:szCs w:val="28"/>
        </w:rPr>
        <w:lastRenderedPageBreak/>
        <w:tab/>
      </w:r>
      <w:r>
        <w:rPr>
          <w:sz w:val="28"/>
          <w:szCs w:val="28"/>
        </w:rPr>
        <w:tab/>
      </w:r>
    </w:p>
    <w:p w14:paraId="4E4B3F09" w14:textId="78F105AD" w:rsidR="00872158" w:rsidRPr="004C7077" w:rsidRDefault="00872158" w:rsidP="001C4884">
      <w:pPr>
        <w:tabs>
          <w:tab w:val="left" w:pos="285"/>
          <w:tab w:val="center" w:pos="5400"/>
        </w:tabs>
        <w:jc w:val="center"/>
        <w:rPr>
          <w:sz w:val="28"/>
          <w:szCs w:val="28"/>
        </w:rPr>
      </w:pPr>
      <w:r w:rsidRPr="004C7077">
        <w:rPr>
          <w:sz w:val="28"/>
          <w:szCs w:val="28"/>
        </w:rPr>
        <w:t>Request for Qualifications (RFQ)</w:t>
      </w:r>
    </w:p>
    <w:p w14:paraId="37BE2D90" w14:textId="1271DDD1" w:rsidR="00872158" w:rsidRPr="004C7077" w:rsidRDefault="00872158" w:rsidP="004C7077">
      <w:pPr>
        <w:jc w:val="center"/>
        <w:rPr>
          <w:sz w:val="28"/>
          <w:szCs w:val="28"/>
        </w:rPr>
      </w:pPr>
      <w:bookmarkStart w:id="0" w:name="_Hlk138690510"/>
      <w:r w:rsidRPr="004C7077">
        <w:rPr>
          <w:sz w:val="28"/>
          <w:szCs w:val="28"/>
        </w:rPr>
        <w:t xml:space="preserve">Safe Streets: A Comprehensive Regional Safety Action Plan </w:t>
      </w:r>
      <w:bookmarkEnd w:id="0"/>
      <w:r w:rsidRPr="004C7077">
        <w:rPr>
          <w:sz w:val="28"/>
          <w:szCs w:val="28"/>
        </w:rPr>
        <w:t>for Assumption, Lafourche, and Terrebonne Parishes, Louisiana</w:t>
      </w:r>
    </w:p>
    <w:p w14:paraId="4F620CA3" w14:textId="77777777" w:rsidR="00872158" w:rsidRPr="00872158" w:rsidRDefault="00872158" w:rsidP="004C7077">
      <w:pPr>
        <w:jc w:val="both"/>
        <w:rPr>
          <w:b/>
          <w:bCs/>
        </w:rPr>
      </w:pPr>
      <w:r w:rsidRPr="00872158">
        <w:rPr>
          <w:b/>
          <w:bCs/>
        </w:rPr>
        <w:t>Introduction</w:t>
      </w:r>
    </w:p>
    <w:p w14:paraId="7F8B999C" w14:textId="24F657BF" w:rsidR="00872158" w:rsidRDefault="00872158" w:rsidP="004C7077">
      <w:pPr>
        <w:jc w:val="both"/>
      </w:pPr>
      <w:r>
        <w:t>Assumption, Lafourche, and Terrebonne Parishes in Louisiana invite qualified firms to submit their qualifications for the development of a Comprehensive Regional Safety Action Plan. The objective of this plan is to enhance safety on the region's roadways, reduce fatalities and serious injuries, and achieve the vision of Destination Zero Deaths by 2030. The plan development process will emphasize transparency, public and stakeholder engagement, and equitable strategies to engage underserved communities.</w:t>
      </w:r>
    </w:p>
    <w:p w14:paraId="38A2CAA5" w14:textId="77777777" w:rsidR="00872158" w:rsidRPr="00872158" w:rsidRDefault="00872158" w:rsidP="004C7077">
      <w:pPr>
        <w:jc w:val="both"/>
        <w:rPr>
          <w:b/>
          <w:bCs/>
        </w:rPr>
      </w:pPr>
      <w:r w:rsidRPr="00872158">
        <w:rPr>
          <w:b/>
          <w:bCs/>
        </w:rPr>
        <w:t>Background</w:t>
      </w:r>
    </w:p>
    <w:p w14:paraId="5844E153" w14:textId="77777777" w:rsidR="00872158" w:rsidRDefault="00872158" w:rsidP="004C7077">
      <w:pPr>
        <w:jc w:val="both"/>
      </w:pPr>
      <w:r>
        <w:t>Between 2016 and 2020, the region experienced a total of 209 fatalities in motor vehicle crashes. Impaired driving and distracted driving were identified as the primary causes of these fatalities. Alcohol played a contributing role in over 5% of all crashes, resulting in seven out of ten fatalities within the metropolitan area. To address this pressing issue, the South Central Planning and Development Commission (SCPDC) is committed to reducing roadway fatalities and serious injuries through evidence-based initiatives.</w:t>
      </w:r>
    </w:p>
    <w:p w14:paraId="386C08F3" w14:textId="7EB64BA3" w:rsidR="005D3223" w:rsidRPr="005D3223" w:rsidRDefault="005D3223" w:rsidP="004C7077">
      <w:pPr>
        <w:jc w:val="both"/>
        <w:rPr>
          <w:b/>
          <w:bCs/>
        </w:rPr>
      </w:pPr>
      <w:r w:rsidRPr="005D3223">
        <w:rPr>
          <w:b/>
          <w:bCs/>
        </w:rPr>
        <w:t>Minimum Qualifications</w:t>
      </w:r>
    </w:p>
    <w:p w14:paraId="454BABAC" w14:textId="5DCA3266" w:rsidR="005D3223" w:rsidRDefault="005D3223" w:rsidP="004C7077">
      <w:pPr>
        <w:pStyle w:val="ListParagraph"/>
        <w:numPr>
          <w:ilvl w:val="0"/>
          <w:numId w:val="17"/>
        </w:numPr>
        <w:jc w:val="both"/>
      </w:pPr>
      <w:r>
        <w:t>At least one principal or responsible member of the firm shall demonstrate experience in responsible charge of, or major expertise in the field involved in this RFQ.</w:t>
      </w:r>
    </w:p>
    <w:p w14:paraId="0305CB9E" w14:textId="678E3732" w:rsidR="005D3223" w:rsidRDefault="00880CBF" w:rsidP="004C7077">
      <w:pPr>
        <w:pStyle w:val="ListParagraph"/>
        <w:numPr>
          <w:ilvl w:val="0"/>
          <w:numId w:val="17"/>
        </w:numPr>
        <w:jc w:val="both"/>
      </w:pPr>
      <w:r>
        <w:t>The offeror</w:t>
      </w:r>
      <w:r w:rsidR="005D3223">
        <w:t xml:space="preserve"> must show minimum experience of </w:t>
      </w:r>
      <w:r>
        <w:t xml:space="preserve">one </w:t>
      </w:r>
      <w:r w:rsidR="005D3223">
        <w:t>project of similar scope.</w:t>
      </w:r>
    </w:p>
    <w:p w14:paraId="0EC206D8" w14:textId="3C10A580" w:rsidR="005D3223" w:rsidRDefault="005D3223" w:rsidP="004C7077">
      <w:pPr>
        <w:pStyle w:val="ListParagraph"/>
        <w:numPr>
          <w:ilvl w:val="0"/>
          <w:numId w:val="17"/>
        </w:numPr>
        <w:jc w:val="both"/>
      </w:pPr>
      <w:r>
        <w:t xml:space="preserve">Experience working in the development of </w:t>
      </w:r>
      <w:r w:rsidR="009B4328">
        <w:t>safety action plans</w:t>
      </w:r>
      <w:r>
        <w:t>.</w:t>
      </w:r>
    </w:p>
    <w:p w14:paraId="3C8F42C1" w14:textId="0175000B" w:rsidR="00872158" w:rsidRPr="00872158" w:rsidRDefault="00872158" w:rsidP="004C7077">
      <w:pPr>
        <w:jc w:val="both"/>
        <w:rPr>
          <w:b/>
          <w:bCs/>
        </w:rPr>
      </w:pPr>
      <w:r w:rsidRPr="00872158">
        <w:rPr>
          <w:b/>
          <w:bCs/>
        </w:rPr>
        <w:t xml:space="preserve">Scope of </w:t>
      </w:r>
      <w:r w:rsidR="00855623">
        <w:rPr>
          <w:b/>
          <w:bCs/>
        </w:rPr>
        <w:t>Services</w:t>
      </w:r>
    </w:p>
    <w:p w14:paraId="5F00C126" w14:textId="77777777" w:rsidR="00872158" w:rsidRDefault="00872158" w:rsidP="004C7077">
      <w:pPr>
        <w:jc w:val="both"/>
      </w:pPr>
      <w:r>
        <w:t>The selected firm will be responsible for developing a Comprehensive Regional Safety Action Plan encompassing the following components:</w:t>
      </w:r>
    </w:p>
    <w:p w14:paraId="591CC3F4" w14:textId="77777777" w:rsidR="003A12A7" w:rsidRPr="006B6CC6" w:rsidRDefault="003A12A7" w:rsidP="00D77B54">
      <w:pPr>
        <w:spacing w:after="0"/>
        <w:jc w:val="both"/>
      </w:pPr>
      <w:r w:rsidRPr="006B6CC6">
        <w:rPr>
          <w:b/>
          <w:bCs/>
        </w:rPr>
        <w:t>Task 1:</w:t>
      </w:r>
      <w:r w:rsidRPr="006B6CC6">
        <w:t xml:space="preserve"> Stakeholder and Public Engagement</w:t>
      </w:r>
    </w:p>
    <w:p w14:paraId="3F96484C" w14:textId="77777777" w:rsidR="003A12A7" w:rsidRPr="006B6CC6" w:rsidRDefault="003A12A7" w:rsidP="00D77B54">
      <w:pPr>
        <w:numPr>
          <w:ilvl w:val="0"/>
          <w:numId w:val="29"/>
        </w:numPr>
        <w:spacing w:after="0"/>
        <w:jc w:val="both"/>
      </w:pPr>
      <w:r w:rsidRPr="006B6CC6">
        <w:t>Prepare a plan for public engagement, including holding public meetings in member communities.</w:t>
      </w:r>
    </w:p>
    <w:p w14:paraId="03607197" w14:textId="77777777" w:rsidR="003A12A7" w:rsidRPr="006B6CC6" w:rsidRDefault="003A12A7" w:rsidP="00D77B54">
      <w:pPr>
        <w:numPr>
          <w:ilvl w:val="0"/>
          <w:numId w:val="29"/>
        </w:numPr>
        <w:spacing w:after="0"/>
        <w:jc w:val="both"/>
      </w:pPr>
      <w:r w:rsidRPr="006B6CC6">
        <w:t>Ensure representation and feedback from communities disproportionately impacted by traffic risks.</w:t>
      </w:r>
    </w:p>
    <w:p w14:paraId="25F26980" w14:textId="77777777" w:rsidR="003A12A7" w:rsidRPr="00BB7ACB" w:rsidRDefault="003A12A7" w:rsidP="00D77B54">
      <w:pPr>
        <w:spacing w:after="0"/>
        <w:ind w:left="720"/>
        <w:jc w:val="both"/>
        <w:rPr>
          <w:b/>
          <w:bCs/>
        </w:rPr>
      </w:pPr>
      <w:r w:rsidRPr="00BB7ACB">
        <w:rPr>
          <w:b/>
          <w:bCs/>
        </w:rPr>
        <w:t xml:space="preserve">Deliverables: </w:t>
      </w:r>
    </w:p>
    <w:p w14:paraId="5FC61D74" w14:textId="77777777" w:rsidR="003A12A7" w:rsidRDefault="003A12A7" w:rsidP="00D77B54">
      <w:pPr>
        <w:spacing w:after="0"/>
        <w:ind w:left="720"/>
        <w:jc w:val="both"/>
      </w:pPr>
      <w:r w:rsidRPr="006B6CC6">
        <w:t>Provide a memo outlining received feedback and how it will be incorporated into the plan.</w:t>
      </w:r>
    </w:p>
    <w:p w14:paraId="6A15BB28" w14:textId="77777777" w:rsidR="00C05D98" w:rsidRPr="006B6CC6" w:rsidRDefault="00C05D98" w:rsidP="00D77B54">
      <w:pPr>
        <w:spacing w:after="0"/>
        <w:ind w:left="720"/>
        <w:jc w:val="both"/>
      </w:pPr>
    </w:p>
    <w:p w14:paraId="4E64CFB2" w14:textId="1BEC1CBD" w:rsidR="003A12A7" w:rsidRPr="00876B2D" w:rsidRDefault="003A12A7" w:rsidP="00D77B54">
      <w:pPr>
        <w:spacing w:after="0"/>
        <w:jc w:val="both"/>
      </w:pPr>
      <w:r w:rsidRPr="006B6CC6">
        <w:rPr>
          <w:b/>
          <w:bCs/>
        </w:rPr>
        <w:t>Task 2:</w:t>
      </w:r>
      <w:r w:rsidRPr="006B6CC6">
        <w:t xml:space="preserve"> State </w:t>
      </w:r>
      <w:r w:rsidRPr="00876B2D">
        <w:t xml:space="preserve">of Practice &amp; Data </w:t>
      </w:r>
      <w:r w:rsidR="00E44E52" w:rsidRPr="00876B2D">
        <w:t xml:space="preserve">Review and Resources </w:t>
      </w:r>
    </w:p>
    <w:p w14:paraId="0C80B05E" w14:textId="77777777" w:rsidR="003A12A7" w:rsidRPr="00876B2D" w:rsidRDefault="003A12A7" w:rsidP="00D77B54">
      <w:pPr>
        <w:numPr>
          <w:ilvl w:val="0"/>
          <w:numId w:val="30"/>
        </w:numPr>
        <w:spacing w:after="0"/>
        <w:jc w:val="both"/>
      </w:pPr>
      <w:r w:rsidRPr="00876B2D">
        <w:t>Review existing programs and policies related to roadway safety.</w:t>
      </w:r>
    </w:p>
    <w:p w14:paraId="3FFAAB50" w14:textId="3237C994" w:rsidR="003A12A7" w:rsidRPr="00876B2D" w:rsidRDefault="003A12A7" w:rsidP="00D77B54">
      <w:pPr>
        <w:numPr>
          <w:ilvl w:val="0"/>
          <w:numId w:val="30"/>
        </w:numPr>
        <w:spacing w:after="0"/>
        <w:jc w:val="both"/>
      </w:pPr>
      <w:r w:rsidRPr="00876B2D">
        <w:t>Assess the quality and completeness of available data</w:t>
      </w:r>
      <w:r w:rsidR="00E44E52" w:rsidRPr="00876B2D">
        <w:t>, including exploration of big data sets.</w:t>
      </w:r>
    </w:p>
    <w:p w14:paraId="3D309275" w14:textId="1237F907" w:rsidR="00E44E52" w:rsidRPr="00876B2D" w:rsidRDefault="00E44E52" w:rsidP="00D77B54">
      <w:pPr>
        <w:numPr>
          <w:ilvl w:val="0"/>
          <w:numId w:val="30"/>
        </w:numPr>
        <w:spacing w:after="0"/>
        <w:jc w:val="both"/>
      </w:pPr>
      <w:r w:rsidRPr="00876B2D">
        <w:t>Demonstrate the need and capabilities of using big data (aside from State Crash Data) in enhancing transportation safety.</w:t>
      </w:r>
    </w:p>
    <w:p w14:paraId="0E8AF980" w14:textId="18B0CC5E" w:rsidR="003A12A7" w:rsidRPr="00876B2D" w:rsidRDefault="003A12A7" w:rsidP="00D77B54">
      <w:pPr>
        <w:numPr>
          <w:ilvl w:val="0"/>
          <w:numId w:val="30"/>
        </w:numPr>
        <w:spacing w:after="0"/>
        <w:jc w:val="both"/>
      </w:pPr>
      <w:r w:rsidRPr="00876B2D">
        <w:t>Make recommendations based on literature</w:t>
      </w:r>
      <w:r w:rsidR="00E44E52" w:rsidRPr="00876B2D">
        <w:t xml:space="preserve">, </w:t>
      </w:r>
      <w:r w:rsidRPr="00876B2D">
        <w:t>data review</w:t>
      </w:r>
      <w:r w:rsidR="00926058" w:rsidRPr="00876B2D">
        <w:t>, and extensive dataset research</w:t>
      </w:r>
      <w:r w:rsidRPr="00876B2D">
        <w:t>.</w:t>
      </w:r>
    </w:p>
    <w:p w14:paraId="04926A63" w14:textId="77777777" w:rsidR="003A12A7" w:rsidRPr="00876B2D" w:rsidRDefault="003A12A7" w:rsidP="00D77B54">
      <w:pPr>
        <w:spacing w:after="0"/>
        <w:ind w:left="720"/>
        <w:jc w:val="both"/>
        <w:rPr>
          <w:b/>
          <w:bCs/>
        </w:rPr>
      </w:pPr>
      <w:r w:rsidRPr="00876B2D">
        <w:rPr>
          <w:b/>
          <w:bCs/>
        </w:rPr>
        <w:t xml:space="preserve">Deliverables: </w:t>
      </w:r>
    </w:p>
    <w:p w14:paraId="2D172D99" w14:textId="5576E0E1" w:rsidR="00926058" w:rsidRPr="00876B2D" w:rsidRDefault="003A12A7" w:rsidP="00D77B54">
      <w:pPr>
        <w:spacing w:after="0"/>
        <w:ind w:left="720"/>
        <w:jc w:val="both"/>
      </w:pPr>
      <w:r w:rsidRPr="00876B2D">
        <w:t xml:space="preserve">Provide technical memos on literature and policy </w:t>
      </w:r>
      <w:r w:rsidR="00926058" w:rsidRPr="00876B2D">
        <w:t>review</w:t>
      </w:r>
      <w:r w:rsidR="00431DBC" w:rsidRPr="00876B2D">
        <w:t xml:space="preserve"> and data assessment.</w:t>
      </w:r>
    </w:p>
    <w:p w14:paraId="00080500" w14:textId="7979678F" w:rsidR="003A12A7" w:rsidRDefault="00431DBC" w:rsidP="00D77B54">
      <w:pPr>
        <w:spacing w:after="0"/>
        <w:ind w:left="720"/>
        <w:jc w:val="both"/>
      </w:pPr>
      <w:r w:rsidRPr="00876B2D">
        <w:t>Provide a short summary of each recommended large scale dataset resource.</w:t>
      </w:r>
    </w:p>
    <w:p w14:paraId="376232B5" w14:textId="77777777" w:rsidR="00E44E52" w:rsidRPr="006B6CC6" w:rsidRDefault="00E44E52" w:rsidP="00D77B54">
      <w:pPr>
        <w:spacing w:after="0"/>
        <w:ind w:left="720"/>
        <w:jc w:val="both"/>
      </w:pPr>
    </w:p>
    <w:p w14:paraId="4EB48AD8" w14:textId="77777777" w:rsidR="003A12A7" w:rsidRPr="006B6CC6" w:rsidRDefault="003A12A7" w:rsidP="00D77B54">
      <w:pPr>
        <w:spacing w:after="0"/>
        <w:jc w:val="both"/>
      </w:pPr>
      <w:r w:rsidRPr="006B6CC6">
        <w:rPr>
          <w:b/>
          <w:bCs/>
        </w:rPr>
        <w:t>Task 3:</w:t>
      </w:r>
      <w:r w:rsidRPr="006B6CC6">
        <w:t xml:space="preserve"> Crash Data Analysis</w:t>
      </w:r>
    </w:p>
    <w:p w14:paraId="7F3F62FF" w14:textId="77777777" w:rsidR="003A12A7" w:rsidRPr="006B6CC6" w:rsidRDefault="003A12A7" w:rsidP="00D77B54">
      <w:pPr>
        <w:numPr>
          <w:ilvl w:val="0"/>
          <w:numId w:val="31"/>
        </w:numPr>
        <w:spacing w:after="0"/>
        <w:jc w:val="both"/>
      </w:pPr>
      <w:r w:rsidRPr="006B6CC6">
        <w:t>Collect and analyze crash, traffic, and roadway data.</w:t>
      </w:r>
    </w:p>
    <w:p w14:paraId="3DC5D902" w14:textId="77777777" w:rsidR="003A12A7" w:rsidRPr="006B6CC6" w:rsidRDefault="003A12A7" w:rsidP="00D77B54">
      <w:pPr>
        <w:numPr>
          <w:ilvl w:val="0"/>
          <w:numId w:val="31"/>
        </w:numPr>
        <w:spacing w:after="0"/>
        <w:jc w:val="both"/>
      </w:pPr>
      <w:r w:rsidRPr="006B6CC6">
        <w:t>Identify trends, causes, and patterns of transportation safety.</w:t>
      </w:r>
    </w:p>
    <w:p w14:paraId="6A22EBAE" w14:textId="77777777" w:rsidR="003A12A7" w:rsidRPr="006B6CC6" w:rsidRDefault="003A12A7" w:rsidP="00D77B54">
      <w:pPr>
        <w:numPr>
          <w:ilvl w:val="0"/>
          <w:numId w:val="31"/>
        </w:numPr>
        <w:spacing w:after="0"/>
        <w:jc w:val="both"/>
      </w:pPr>
      <w:r w:rsidRPr="006B6CC6">
        <w:t>Prioritize Engineering, Enforcement, and Education measures.</w:t>
      </w:r>
    </w:p>
    <w:p w14:paraId="58B856C3" w14:textId="77777777" w:rsidR="003A12A7" w:rsidRDefault="003A12A7" w:rsidP="00D77B54">
      <w:pPr>
        <w:numPr>
          <w:ilvl w:val="0"/>
          <w:numId w:val="31"/>
        </w:numPr>
        <w:spacing w:after="0"/>
        <w:jc w:val="both"/>
      </w:pPr>
      <w:r w:rsidRPr="006B6CC6">
        <w:t>Identify emphasis areas, high-risk corridors, and intersections.</w:t>
      </w:r>
    </w:p>
    <w:p w14:paraId="32E56DE7" w14:textId="77777777" w:rsidR="003A12A7" w:rsidRPr="00BB7ACB" w:rsidRDefault="003A12A7" w:rsidP="00D77B54">
      <w:pPr>
        <w:spacing w:after="0"/>
        <w:ind w:left="720"/>
        <w:jc w:val="both"/>
        <w:rPr>
          <w:b/>
          <w:bCs/>
        </w:rPr>
      </w:pPr>
      <w:r w:rsidRPr="00BB7ACB">
        <w:rPr>
          <w:b/>
          <w:bCs/>
        </w:rPr>
        <w:t xml:space="preserve">Deliverables: </w:t>
      </w:r>
    </w:p>
    <w:p w14:paraId="26B60273" w14:textId="77777777" w:rsidR="003A12A7" w:rsidRDefault="003A12A7" w:rsidP="00D77B54">
      <w:pPr>
        <w:spacing w:after="0"/>
        <w:ind w:left="720"/>
        <w:jc w:val="both"/>
      </w:pPr>
      <w:r>
        <w:t>Technical memo on data analysis and findings for emphasis areas and high-risk locations</w:t>
      </w:r>
    </w:p>
    <w:p w14:paraId="2F88ACDA" w14:textId="77777777" w:rsidR="003A12A7" w:rsidRPr="006B6CC6" w:rsidRDefault="003A12A7" w:rsidP="00D77B54">
      <w:pPr>
        <w:spacing w:after="0"/>
        <w:ind w:left="720"/>
        <w:jc w:val="both"/>
      </w:pPr>
      <w:r>
        <w:t>Tool or methodology to recreate regional crash distribution.</w:t>
      </w:r>
    </w:p>
    <w:p w14:paraId="34B5FF73" w14:textId="77777777" w:rsidR="003854FE" w:rsidRDefault="003854FE" w:rsidP="00D77B54">
      <w:pPr>
        <w:spacing w:after="0"/>
        <w:jc w:val="both"/>
        <w:rPr>
          <w:b/>
          <w:bCs/>
        </w:rPr>
      </w:pPr>
    </w:p>
    <w:p w14:paraId="295BEE14" w14:textId="68E50321" w:rsidR="003A12A7" w:rsidRPr="006B6CC6" w:rsidRDefault="003A12A7" w:rsidP="00D77B54">
      <w:pPr>
        <w:spacing w:after="0"/>
        <w:jc w:val="both"/>
      </w:pPr>
      <w:r w:rsidRPr="006B6CC6">
        <w:rPr>
          <w:b/>
          <w:bCs/>
        </w:rPr>
        <w:t>Task 4:</w:t>
      </w:r>
      <w:r w:rsidRPr="006B6CC6">
        <w:t xml:space="preserve"> Countermeasure Toolbox</w:t>
      </w:r>
    </w:p>
    <w:p w14:paraId="46C948A9" w14:textId="77777777" w:rsidR="003A12A7" w:rsidRPr="006B6CC6" w:rsidRDefault="003A12A7" w:rsidP="00D77B54">
      <w:pPr>
        <w:numPr>
          <w:ilvl w:val="0"/>
          <w:numId w:val="32"/>
        </w:numPr>
        <w:spacing w:after="0"/>
        <w:jc w:val="both"/>
      </w:pPr>
      <w:r w:rsidRPr="006B6CC6">
        <w:t>Identify countermeasures for addressing emphasis areas and high-risk locations.</w:t>
      </w:r>
    </w:p>
    <w:p w14:paraId="32F55B9B" w14:textId="77777777" w:rsidR="003A12A7" w:rsidRPr="006B6CC6" w:rsidRDefault="003A12A7" w:rsidP="00D77B54">
      <w:pPr>
        <w:numPr>
          <w:ilvl w:val="0"/>
          <w:numId w:val="32"/>
        </w:numPr>
        <w:spacing w:after="0"/>
        <w:jc w:val="both"/>
      </w:pPr>
      <w:r w:rsidRPr="006B6CC6">
        <w:t>Include strategies, performance measures, and correlations with federal measures.</w:t>
      </w:r>
    </w:p>
    <w:p w14:paraId="09C8057B" w14:textId="77777777" w:rsidR="003A12A7" w:rsidRDefault="003A12A7" w:rsidP="00D77B54">
      <w:pPr>
        <w:numPr>
          <w:ilvl w:val="0"/>
          <w:numId w:val="32"/>
        </w:numPr>
        <w:spacing w:after="0"/>
        <w:jc w:val="both"/>
      </w:pPr>
      <w:r w:rsidRPr="006B6CC6">
        <w:t>Develop toolbox for addressing safety in emphasis areas.</w:t>
      </w:r>
    </w:p>
    <w:p w14:paraId="5986EDB0" w14:textId="77777777" w:rsidR="003A12A7" w:rsidRPr="00BB7ACB" w:rsidRDefault="003A12A7" w:rsidP="00D77B54">
      <w:pPr>
        <w:spacing w:after="0"/>
        <w:ind w:left="720"/>
        <w:jc w:val="both"/>
        <w:rPr>
          <w:b/>
          <w:bCs/>
        </w:rPr>
      </w:pPr>
      <w:r w:rsidRPr="00BB7ACB">
        <w:rPr>
          <w:b/>
          <w:bCs/>
        </w:rPr>
        <w:t>Deliverables:</w:t>
      </w:r>
    </w:p>
    <w:p w14:paraId="28596702" w14:textId="77777777" w:rsidR="003A12A7" w:rsidRDefault="003A12A7" w:rsidP="00D77B54">
      <w:pPr>
        <w:spacing w:after="0"/>
        <w:ind w:left="720"/>
        <w:jc w:val="both"/>
      </w:pPr>
      <w:r>
        <w:t>Systemic Countermeasure Toolbox</w:t>
      </w:r>
    </w:p>
    <w:p w14:paraId="08D18B0D" w14:textId="77777777" w:rsidR="003A12A7" w:rsidRDefault="003A12A7" w:rsidP="00D77B54">
      <w:pPr>
        <w:spacing w:after="0"/>
        <w:ind w:left="720"/>
        <w:jc w:val="both"/>
      </w:pPr>
      <w:r>
        <w:t>Emphasis Areas Toolbox</w:t>
      </w:r>
    </w:p>
    <w:p w14:paraId="1A66FF10" w14:textId="77777777" w:rsidR="00C05D98" w:rsidRPr="006B6CC6" w:rsidRDefault="00C05D98" w:rsidP="00D77B54">
      <w:pPr>
        <w:spacing w:after="0"/>
        <w:ind w:left="720"/>
        <w:jc w:val="both"/>
      </w:pPr>
    </w:p>
    <w:p w14:paraId="69D02499" w14:textId="77777777" w:rsidR="003A12A7" w:rsidRPr="006B6CC6" w:rsidRDefault="003A12A7" w:rsidP="00D77B54">
      <w:pPr>
        <w:spacing w:after="0"/>
        <w:jc w:val="both"/>
      </w:pPr>
      <w:r w:rsidRPr="006B6CC6">
        <w:rPr>
          <w:b/>
          <w:bCs/>
        </w:rPr>
        <w:t>Task 5:</w:t>
      </w:r>
      <w:r w:rsidRPr="006B6CC6">
        <w:t xml:space="preserve"> Implementation Plan &amp; Programs</w:t>
      </w:r>
    </w:p>
    <w:p w14:paraId="7118E83B" w14:textId="77777777" w:rsidR="003A12A7" w:rsidRPr="006B6CC6" w:rsidRDefault="003A12A7" w:rsidP="00D77B54">
      <w:pPr>
        <w:numPr>
          <w:ilvl w:val="0"/>
          <w:numId w:val="33"/>
        </w:numPr>
        <w:spacing w:after="0"/>
        <w:jc w:val="both"/>
      </w:pPr>
      <w:r w:rsidRPr="006B6CC6">
        <w:t>Develop a strategy for implementing safety measures.</w:t>
      </w:r>
    </w:p>
    <w:p w14:paraId="639219CA" w14:textId="77777777" w:rsidR="003A12A7" w:rsidRPr="006B6CC6" w:rsidRDefault="003A12A7" w:rsidP="00D77B54">
      <w:pPr>
        <w:numPr>
          <w:ilvl w:val="0"/>
          <w:numId w:val="33"/>
        </w:numPr>
        <w:spacing w:after="0"/>
        <w:jc w:val="both"/>
      </w:pPr>
      <w:r w:rsidRPr="006B6CC6">
        <w:t>Monitor safety outcomes and evaluate effectiveness.</w:t>
      </w:r>
    </w:p>
    <w:p w14:paraId="76F44C0C" w14:textId="77777777" w:rsidR="003A12A7" w:rsidRPr="006B6CC6" w:rsidRDefault="003A12A7" w:rsidP="00D77B54">
      <w:pPr>
        <w:numPr>
          <w:ilvl w:val="0"/>
          <w:numId w:val="33"/>
        </w:numPr>
        <w:spacing w:after="0"/>
        <w:jc w:val="both"/>
      </w:pPr>
      <w:r w:rsidRPr="006B6CC6">
        <w:t>Identify potential projects and updates to regional design standards.</w:t>
      </w:r>
    </w:p>
    <w:p w14:paraId="15165742" w14:textId="77777777" w:rsidR="003A12A7" w:rsidRDefault="003A12A7" w:rsidP="00D77B54">
      <w:pPr>
        <w:numPr>
          <w:ilvl w:val="0"/>
          <w:numId w:val="33"/>
        </w:numPr>
        <w:spacing w:after="0"/>
        <w:jc w:val="both"/>
      </w:pPr>
      <w:r w:rsidRPr="006B6CC6">
        <w:t>Create a publicly accessible tracking mechanism.</w:t>
      </w:r>
    </w:p>
    <w:p w14:paraId="151E2BDD" w14:textId="77777777" w:rsidR="003A12A7" w:rsidRPr="00BB7ACB" w:rsidRDefault="003A12A7" w:rsidP="00D77B54">
      <w:pPr>
        <w:spacing w:after="0"/>
        <w:ind w:left="720"/>
        <w:jc w:val="both"/>
        <w:rPr>
          <w:b/>
          <w:bCs/>
        </w:rPr>
      </w:pPr>
      <w:r w:rsidRPr="00BB7ACB">
        <w:rPr>
          <w:b/>
          <w:bCs/>
        </w:rPr>
        <w:t>Deliverables:</w:t>
      </w:r>
    </w:p>
    <w:p w14:paraId="41856932" w14:textId="77777777" w:rsidR="003A12A7" w:rsidRDefault="003A12A7" w:rsidP="00D77B54">
      <w:pPr>
        <w:spacing w:after="0"/>
        <w:ind w:left="720"/>
        <w:jc w:val="both"/>
      </w:pPr>
      <w:r>
        <w:t>Implementation Plan for priority projects</w:t>
      </w:r>
    </w:p>
    <w:p w14:paraId="36216793" w14:textId="77777777" w:rsidR="003A12A7" w:rsidRDefault="003A12A7" w:rsidP="00D77B54">
      <w:pPr>
        <w:spacing w:after="0"/>
        <w:ind w:left="720"/>
        <w:jc w:val="both"/>
      </w:pPr>
      <w:r>
        <w:t>Education and Enforcement Programs</w:t>
      </w:r>
    </w:p>
    <w:p w14:paraId="3514A16A" w14:textId="77777777" w:rsidR="00C05D98" w:rsidRPr="006B6CC6" w:rsidRDefault="00C05D98" w:rsidP="00D77B54">
      <w:pPr>
        <w:spacing w:after="0"/>
        <w:ind w:left="720"/>
        <w:jc w:val="both"/>
      </w:pPr>
    </w:p>
    <w:p w14:paraId="3A8F4606" w14:textId="77777777" w:rsidR="003A12A7" w:rsidRPr="006B6CC6" w:rsidRDefault="003A12A7" w:rsidP="00D77B54">
      <w:pPr>
        <w:spacing w:after="0"/>
        <w:jc w:val="both"/>
      </w:pPr>
      <w:r w:rsidRPr="006B6CC6">
        <w:rPr>
          <w:b/>
          <w:bCs/>
        </w:rPr>
        <w:t>Task 6:</w:t>
      </w:r>
      <w:r w:rsidRPr="006B6CC6">
        <w:t xml:space="preserve"> Safe Streets Visualization &amp; </w:t>
      </w:r>
      <w:r>
        <w:t>Destination Zero Death</w:t>
      </w:r>
      <w:r w:rsidRPr="006B6CC6">
        <w:t xml:space="preserve"> Toolkit</w:t>
      </w:r>
    </w:p>
    <w:p w14:paraId="257E22EE" w14:textId="77777777" w:rsidR="003A12A7" w:rsidRPr="006B6CC6" w:rsidRDefault="003A12A7" w:rsidP="00D77B54">
      <w:pPr>
        <w:numPr>
          <w:ilvl w:val="0"/>
          <w:numId w:val="34"/>
        </w:numPr>
        <w:spacing w:after="0"/>
        <w:jc w:val="both"/>
      </w:pPr>
      <w:r w:rsidRPr="006B6CC6">
        <w:t>Develop visualizations to communicate safety countermeasures.</w:t>
      </w:r>
    </w:p>
    <w:p w14:paraId="730EDAA0" w14:textId="77777777" w:rsidR="003A12A7" w:rsidRPr="006B6CC6" w:rsidRDefault="003A12A7" w:rsidP="00D77B54">
      <w:pPr>
        <w:numPr>
          <w:ilvl w:val="0"/>
          <w:numId w:val="34"/>
        </w:numPr>
        <w:spacing w:after="0"/>
        <w:jc w:val="both"/>
      </w:pPr>
      <w:r w:rsidRPr="006B6CC6">
        <w:t xml:space="preserve">Provide a </w:t>
      </w:r>
      <w:r>
        <w:t>Destination</w:t>
      </w:r>
      <w:r w:rsidRPr="006B6CC6">
        <w:t xml:space="preserve"> Zero </w:t>
      </w:r>
      <w:r>
        <w:t xml:space="preserve">Death </w:t>
      </w:r>
      <w:r w:rsidRPr="006B6CC6">
        <w:t>Toolkit for ongoing use and public education.</w:t>
      </w:r>
    </w:p>
    <w:p w14:paraId="1BE627FC" w14:textId="77777777" w:rsidR="003A12A7" w:rsidRDefault="003A12A7" w:rsidP="00D77B54">
      <w:pPr>
        <w:numPr>
          <w:ilvl w:val="0"/>
          <w:numId w:val="34"/>
        </w:numPr>
        <w:spacing w:after="0"/>
        <w:jc w:val="both"/>
      </w:pPr>
      <w:r w:rsidRPr="006B6CC6">
        <w:t>Include outreach materials and an outline for public engagement.</w:t>
      </w:r>
    </w:p>
    <w:p w14:paraId="6798ABC3" w14:textId="77777777" w:rsidR="003A12A7" w:rsidRPr="00BB7ACB" w:rsidRDefault="003A12A7" w:rsidP="00D77B54">
      <w:pPr>
        <w:spacing w:after="0"/>
        <w:ind w:left="720"/>
        <w:jc w:val="both"/>
        <w:rPr>
          <w:b/>
          <w:bCs/>
        </w:rPr>
      </w:pPr>
      <w:r w:rsidRPr="00BB7ACB">
        <w:rPr>
          <w:b/>
          <w:bCs/>
        </w:rPr>
        <w:t>Deliverables:</w:t>
      </w:r>
    </w:p>
    <w:p w14:paraId="67024109" w14:textId="77777777" w:rsidR="003A12A7" w:rsidRDefault="003A12A7" w:rsidP="00D77B54">
      <w:pPr>
        <w:spacing w:after="0"/>
        <w:ind w:left="720"/>
        <w:jc w:val="both"/>
      </w:pPr>
      <w:r>
        <w:t>Safe Streets Visualization</w:t>
      </w:r>
    </w:p>
    <w:p w14:paraId="5C85F75F" w14:textId="77777777" w:rsidR="003A12A7" w:rsidRDefault="003A12A7" w:rsidP="00D77B54">
      <w:pPr>
        <w:spacing w:after="0"/>
        <w:ind w:left="720"/>
        <w:jc w:val="both"/>
      </w:pPr>
      <w:r>
        <w:t>Destination Zero Death Toolkit</w:t>
      </w:r>
    </w:p>
    <w:p w14:paraId="400BD6CC" w14:textId="77777777" w:rsidR="00C05D98" w:rsidRDefault="00C05D98" w:rsidP="00D77B54">
      <w:pPr>
        <w:spacing w:after="0"/>
        <w:ind w:left="720"/>
        <w:jc w:val="both"/>
      </w:pPr>
    </w:p>
    <w:p w14:paraId="1A6FD014" w14:textId="77777777" w:rsidR="003A12A7" w:rsidRPr="006B6CC6" w:rsidRDefault="003A12A7" w:rsidP="00D77B54">
      <w:pPr>
        <w:spacing w:after="0"/>
        <w:jc w:val="both"/>
      </w:pPr>
      <w:r w:rsidRPr="006B6CC6">
        <w:rPr>
          <w:b/>
          <w:bCs/>
        </w:rPr>
        <w:t>Task 7:</w:t>
      </w:r>
      <w:r w:rsidRPr="006B6CC6">
        <w:t xml:space="preserve"> Comprehensive Safety Action Plan</w:t>
      </w:r>
    </w:p>
    <w:p w14:paraId="4E8E5D91" w14:textId="77777777" w:rsidR="003A12A7" w:rsidRPr="006B6CC6" w:rsidRDefault="003A12A7" w:rsidP="00D77B54">
      <w:pPr>
        <w:numPr>
          <w:ilvl w:val="0"/>
          <w:numId w:val="35"/>
        </w:numPr>
        <w:spacing w:after="0"/>
        <w:jc w:val="both"/>
      </w:pPr>
      <w:r w:rsidRPr="006B6CC6">
        <w:t>Develop a final plan based on stakeholder input and findings.</w:t>
      </w:r>
    </w:p>
    <w:p w14:paraId="46A85666" w14:textId="77777777" w:rsidR="003A12A7" w:rsidRPr="006B6CC6" w:rsidRDefault="003A12A7" w:rsidP="00D77B54">
      <w:pPr>
        <w:numPr>
          <w:ilvl w:val="0"/>
          <w:numId w:val="35"/>
        </w:numPr>
        <w:spacing w:after="0"/>
        <w:jc w:val="both"/>
      </w:pPr>
      <w:r w:rsidRPr="006B6CC6">
        <w:t>Guide efforts to improve transportation safety.</w:t>
      </w:r>
    </w:p>
    <w:p w14:paraId="43074EE9" w14:textId="77777777" w:rsidR="003A12A7" w:rsidRPr="006B6CC6" w:rsidRDefault="003A12A7" w:rsidP="00D77B54">
      <w:pPr>
        <w:numPr>
          <w:ilvl w:val="0"/>
          <w:numId w:val="35"/>
        </w:numPr>
        <w:spacing w:after="0"/>
        <w:jc w:val="both"/>
      </w:pPr>
      <w:r w:rsidRPr="006B6CC6">
        <w:t>Include strategies for implementation and progress measurement.</w:t>
      </w:r>
    </w:p>
    <w:p w14:paraId="0A6B21E8" w14:textId="77777777" w:rsidR="003A12A7" w:rsidRPr="006B6CC6" w:rsidRDefault="003A12A7" w:rsidP="00D77B54">
      <w:pPr>
        <w:numPr>
          <w:ilvl w:val="0"/>
          <w:numId w:val="35"/>
        </w:numPr>
        <w:spacing w:after="0"/>
        <w:jc w:val="both"/>
      </w:pPr>
      <w:r w:rsidRPr="006B6CC6">
        <w:t>Discuss adoption of policies and standards.</w:t>
      </w:r>
    </w:p>
    <w:p w14:paraId="4B006BEA" w14:textId="77777777" w:rsidR="003A12A7" w:rsidRPr="00BB7ACB" w:rsidRDefault="003A12A7" w:rsidP="00D77B54">
      <w:pPr>
        <w:spacing w:after="0"/>
        <w:ind w:left="720"/>
        <w:jc w:val="both"/>
        <w:rPr>
          <w:b/>
          <w:bCs/>
        </w:rPr>
      </w:pPr>
      <w:r w:rsidRPr="00BB7ACB">
        <w:rPr>
          <w:b/>
          <w:bCs/>
        </w:rPr>
        <w:t>Deliverables:</w:t>
      </w:r>
    </w:p>
    <w:p w14:paraId="6A38D768" w14:textId="77777777" w:rsidR="003A12A7" w:rsidRDefault="003A12A7" w:rsidP="00D77B54">
      <w:pPr>
        <w:spacing w:after="0"/>
        <w:ind w:left="720"/>
        <w:jc w:val="both"/>
      </w:pPr>
      <w:r>
        <w:t>Comprehensive Regional Safety Action Plan (draft and final)</w:t>
      </w:r>
    </w:p>
    <w:p w14:paraId="63969DC6" w14:textId="77777777" w:rsidR="00C05D98" w:rsidRDefault="00C05D98" w:rsidP="004C7077">
      <w:pPr>
        <w:jc w:val="both"/>
        <w:rPr>
          <w:b/>
          <w:bCs/>
        </w:rPr>
      </w:pPr>
    </w:p>
    <w:p w14:paraId="48C0FB71" w14:textId="77777777" w:rsidR="001C4884" w:rsidRDefault="001C4884" w:rsidP="004C7077">
      <w:pPr>
        <w:jc w:val="both"/>
        <w:rPr>
          <w:b/>
          <w:bCs/>
        </w:rPr>
      </w:pPr>
    </w:p>
    <w:p w14:paraId="3C850E85" w14:textId="77777777" w:rsidR="001C4884" w:rsidRDefault="001C4884" w:rsidP="004C7077">
      <w:pPr>
        <w:jc w:val="both"/>
        <w:rPr>
          <w:b/>
          <w:bCs/>
        </w:rPr>
      </w:pPr>
    </w:p>
    <w:p w14:paraId="061A6EF7" w14:textId="77777777" w:rsidR="001C4884" w:rsidRDefault="001C4884" w:rsidP="004C7077">
      <w:pPr>
        <w:jc w:val="both"/>
        <w:rPr>
          <w:b/>
          <w:bCs/>
        </w:rPr>
      </w:pPr>
    </w:p>
    <w:p w14:paraId="1D1BB9A5" w14:textId="578AE25A" w:rsidR="00872158" w:rsidRPr="00872158" w:rsidRDefault="00872158" w:rsidP="004C7077">
      <w:pPr>
        <w:jc w:val="both"/>
        <w:rPr>
          <w:b/>
          <w:bCs/>
        </w:rPr>
      </w:pPr>
      <w:r w:rsidRPr="00872158">
        <w:rPr>
          <w:b/>
          <w:bCs/>
        </w:rPr>
        <w:t>Qualifications Submission</w:t>
      </w:r>
    </w:p>
    <w:p w14:paraId="4BADB66C" w14:textId="77777777" w:rsidR="00872158" w:rsidRDefault="00872158" w:rsidP="004C7077">
      <w:pPr>
        <w:jc w:val="both"/>
      </w:pPr>
      <w:r>
        <w:t>Interested firms are requested to submit their qualifications that include the following information:</w:t>
      </w:r>
    </w:p>
    <w:p w14:paraId="67E599FF" w14:textId="4043E633" w:rsidR="005D3223" w:rsidRPr="005D3223" w:rsidRDefault="005D3223" w:rsidP="004C7077">
      <w:pPr>
        <w:pStyle w:val="ListParagraph"/>
        <w:numPr>
          <w:ilvl w:val="0"/>
          <w:numId w:val="18"/>
        </w:numPr>
        <w:jc w:val="both"/>
      </w:pPr>
      <w:r>
        <w:t>Cover letter</w:t>
      </w:r>
      <w:r w:rsidRPr="005D3223">
        <w:t xml:space="preserve"> </w:t>
      </w:r>
      <w:r w:rsidR="00855623">
        <w:t>– The cover letter will provide</w:t>
      </w:r>
      <w:r w:rsidRPr="005D3223">
        <w:t xml:space="preserve"> a summary of the consultant team’s experience and demonstrate that the minimum qualifications are met. The letter must identify a point of contact and be signed by an executive qualified to commit the firm’s resources.</w:t>
      </w:r>
    </w:p>
    <w:p w14:paraId="61CE37CA" w14:textId="2D0919B4" w:rsidR="005D3223" w:rsidRDefault="00855623" w:rsidP="004C7077">
      <w:pPr>
        <w:pStyle w:val="ListParagraph"/>
        <w:numPr>
          <w:ilvl w:val="0"/>
          <w:numId w:val="18"/>
        </w:numPr>
        <w:jc w:val="both"/>
      </w:pPr>
      <w:r>
        <w:t>The Scope of Services response should</w:t>
      </w:r>
      <w:r w:rsidR="00880CBF" w:rsidRPr="00880CBF">
        <w:t xml:space="preserve"> </w:t>
      </w:r>
      <w:r w:rsidR="00880CBF">
        <w:t>p</w:t>
      </w:r>
      <w:r w:rsidR="00880CBF" w:rsidRPr="00880CBF">
        <w:t>rovide a detailed explanation of your firm's approach and methodology for conducting the technical analysis to identify trends and patterns, developing equitable strategies and projects, and implementing an inclusive public and stakeholder engagement process. This section should demonstrate your firm's expertise, clarity, comprehensiveness, and suitability in addressing these specific aspects of the project.</w:t>
      </w:r>
    </w:p>
    <w:p w14:paraId="2F3B9D73" w14:textId="5F633F66" w:rsidR="00496432" w:rsidRDefault="00496432" w:rsidP="004C7077">
      <w:pPr>
        <w:pStyle w:val="ListParagraph"/>
        <w:numPr>
          <w:ilvl w:val="0"/>
          <w:numId w:val="18"/>
        </w:numPr>
        <w:jc w:val="both"/>
      </w:pPr>
      <w:r w:rsidRPr="00496432">
        <w:t>Project Schedule, Staffing, and Deliverables</w:t>
      </w:r>
      <w:r>
        <w:t xml:space="preserve"> - </w:t>
      </w:r>
      <w:r w:rsidR="00844686" w:rsidRPr="00844686">
        <w:t>The respondent must provide a detailed work plan, including a staffing plan, in calendar days that describes the individual tasks to be performed and that outlines all deliverables. All deliverables must be identified</w:t>
      </w:r>
      <w:r w:rsidR="004C7077">
        <w:t>.</w:t>
      </w:r>
    </w:p>
    <w:p w14:paraId="280FE675" w14:textId="299FBAF7" w:rsidR="00591208" w:rsidRDefault="00591208" w:rsidP="004C7077">
      <w:pPr>
        <w:pStyle w:val="ListParagraph"/>
        <w:numPr>
          <w:ilvl w:val="0"/>
          <w:numId w:val="18"/>
        </w:numPr>
        <w:jc w:val="both"/>
      </w:pPr>
      <w:r w:rsidRPr="00591208">
        <w:t>Project Team, Experience, and Qualifications</w:t>
      </w:r>
      <w:r>
        <w:t xml:space="preserve"> - </w:t>
      </w:r>
      <w:r w:rsidRPr="00591208">
        <w:t>Briefly describe your firm's experience in developing regional safety action plans, emphasizing relevant project examples.</w:t>
      </w:r>
      <w:r>
        <w:t xml:space="preserve"> </w:t>
      </w:r>
      <w:r w:rsidRPr="00591208">
        <w:t>Highlight the expertise of your team members in transportation safety, data analysis, community engagement, and equity.</w:t>
      </w:r>
      <w:r>
        <w:t xml:space="preserve"> </w:t>
      </w:r>
      <w:r w:rsidRPr="00591208">
        <w:t>Include information on similar projects undertaken by your team, including dates of completion and the specific roles of team members.</w:t>
      </w:r>
      <w:r>
        <w:t xml:space="preserve"> </w:t>
      </w:r>
      <w:r w:rsidRPr="00591208">
        <w:t>Provide a detailed organizational/project staffing chart, clearly identifying team members, their affiliated companies, and the percentage of time each team member will dedicate to this project. Additionally, specify the project manager responsible for overseeing successful project execution.</w:t>
      </w:r>
    </w:p>
    <w:p w14:paraId="7447310D" w14:textId="4988EA1D" w:rsidR="00444679" w:rsidRDefault="00444679" w:rsidP="004C7077">
      <w:pPr>
        <w:pStyle w:val="ListParagraph"/>
        <w:numPr>
          <w:ilvl w:val="0"/>
          <w:numId w:val="18"/>
        </w:numPr>
        <w:jc w:val="both"/>
      </w:pPr>
      <w:r>
        <w:t>DBE/MBE Participation - The</w:t>
      </w:r>
      <w:r w:rsidRPr="00444679">
        <w:t xml:space="preserve"> consultant team should strive to hire and work with Disadvantage Business Enterprise (DBE</w:t>
      </w:r>
      <w:r>
        <w:t>) Minority Business Enterprise (MBE).</w:t>
      </w:r>
    </w:p>
    <w:p w14:paraId="3E749BEC" w14:textId="47FD5E48" w:rsidR="00496432" w:rsidRPr="00496432" w:rsidRDefault="00496432" w:rsidP="004C7077">
      <w:pPr>
        <w:pStyle w:val="ListParagraph"/>
        <w:numPr>
          <w:ilvl w:val="0"/>
          <w:numId w:val="18"/>
        </w:numPr>
        <w:jc w:val="both"/>
      </w:pPr>
      <w:r>
        <w:t xml:space="preserve">Appendix/Resumes - </w:t>
      </w:r>
      <w:r w:rsidRPr="00496432">
        <w:t>One-page resumes for each team member shall be attached as an appendix to the</w:t>
      </w:r>
      <w:r>
        <w:t xml:space="preserve"> Submission of Qualifications</w:t>
      </w:r>
      <w:r w:rsidRPr="00496432">
        <w:t>. Additional information or links to completed projects may also be attached to the appendix.</w:t>
      </w:r>
    </w:p>
    <w:p w14:paraId="2F354F82" w14:textId="4AEECDF7" w:rsidR="00872158" w:rsidRDefault="00872158" w:rsidP="004C7077">
      <w:pPr>
        <w:pStyle w:val="ListParagraph"/>
        <w:numPr>
          <w:ilvl w:val="0"/>
          <w:numId w:val="11"/>
        </w:numPr>
        <w:jc w:val="both"/>
      </w:pPr>
      <w:r>
        <w:t>MPO Standard Submittal Form</w:t>
      </w:r>
      <w:r w:rsidR="00444679">
        <w:t xml:space="preserve"> - </w:t>
      </w:r>
      <w:r w:rsidR="00444679" w:rsidRPr="00444679">
        <w:t>The respondent shall complete and submit the MPO Standard Submittal For</w:t>
      </w:r>
      <w:r w:rsidR="00496432">
        <w:t>m.</w:t>
      </w:r>
    </w:p>
    <w:p w14:paraId="529889CD" w14:textId="77777777" w:rsidR="00C05D98" w:rsidRDefault="00C05D98" w:rsidP="004C7077">
      <w:pPr>
        <w:jc w:val="both"/>
        <w:rPr>
          <w:b/>
          <w:bCs/>
        </w:rPr>
      </w:pPr>
    </w:p>
    <w:p w14:paraId="27FA3DF0" w14:textId="242FA34D" w:rsidR="00872158" w:rsidRPr="00872158" w:rsidRDefault="00872158" w:rsidP="004C7077">
      <w:pPr>
        <w:jc w:val="both"/>
        <w:rPr>
          <w:b/>
          <w:bCs/>
        </w:rPr>
      </w:pPr>
      <w:r w:rsidRPr="00872158">
        <w:rPr>
          <w:b/>
          <w:bCs/>
        </w:rPr>
        <w:t xml:space="preserve">Evaluation and </w:t>
      </w:r>
      <w:r w:rsidR="00B57324">
        <w:rPr>
          <w:b/>
          <w:bCs/>
        </w:rPr>
        <w:t>Scoring</w:t>
      </w:r>
      <w:r w:rsidR="005D3223">
        <w:rPr>
          <w:b/>
          <w:bCs/>
        </w:rPr>
        <w:t xml:space="preserve"> </w:t>
      </w:r>
      <w:r w:rsidRPr="00872158">
        <w:rPr>
          <w:b/>
          <w:bCs/>
        </w:rPr>
        <w:t>Criteria</w:t>
      </w:r>
    </w:p>
    <w:p w14:paraId="19DC9E73" w14:textId="6C18A78A" w:rsidR="00812ECD" w:rsidRPr="00812ECD" w:rsidRDefault="00872158" w:rsidP="004C7077">
      <w:pPr>
        <w:jc w:val="both"/>
      </w:pPr>
      <w:r>
        <w:t xml:space="preserve">Qualifications will be evaluated based on the </w:t>
      </w:r>
      <w:r w:rsidR="00812ECD" w:rsidRPr="00812ECD">
        <w:t>Scoring Criteria: The criteria below will be used by SCPDC to evaluate and score the responses received. The weighting factors assigned to each criterion are indicated in parentheses.</w:t>
      </w:r>
    </w:p>
    <w:p w14:paraId="3FB7516F" w14:textId="77777777" w:rsidR="00812ECD" w:rsidRPr="00812ECD" w:rsidRDefault="00812ECD" w:rsidP="004C7077">
      <w:pPr>
        <w:numPr>
          <w:ilvl w:val="0"/>
          <w:numId w:val="14"/>
        </w:numPr>
        <w:jc w:val="both"/>
      </w:pPr>
      <w:r w:rsidRPr="00812ECD">
        <w:t xml:space="preserve">Firm Experience on Similar Projects </w:t>
      </w:r>
      <w:bookmarkStart w:id="1" w:name="_Hlk137736703"/>
      <w:r w:rsidRPr="00812ECD">
        <w:t xml:space="preserve">(Weight: 3) </w:t>
      </w:r>
      <w:bookmarkEnd w:id="1"/>
      <w:r w:rsidRPr="00812ECD">
        <w:t>SCPDC will assess the firm's experience in developing comprehensive regional safety action plans or similar projects. This criterion will evaluate the depth and relevance of the firm's prior experience.</w:t>
      </w:r>
    </w:p>
    <w:p w14:paraId="76BBD6E1" w14:textId="77777777" w:rsidR="00812ECD" w:rsidRPr="00812ECD" w:rsidRDefault="00812ECD" w:rsidP="004C7077">
      <w:pPr>
        <w:numPr>
          <w:ilvl w:val="0"/>
          <w:numId w:val="14"/>
        </w:numPr>
        <w:jc w:val="both"/>
      </w:pPr>
      <w:r w:rsidRPr="00812ECD">
        <w:t xml:space="preserve">Staff Experience on Similar Projects </w:t>
      </w:r>
      <w:bookmarkStart w:id="2" w:name="_Hlk137736761"/>
      <w:r w:rsidRPr="00812ECD">
        <w:t xml:space="preserve">(Weight: 4) </w:t>
      </w:r>
      <w:bookmarkEnd w:id="2"/>
      <w:r w:rsidRPr="00812ECD">
        <w:t>SCPDC will evaluate the experience and qualifications of the proposed staff members who will be assigned to the project. Emphasis will be placed on their expertise in regional safety action planning or similar initiatives.</w:t>
      </w:r>
    </w:p>
    <w:p w14:paraId="1F2F617D" w14:textId="77777777" w:rsidR="00812ECD" w:rsidRPr="00812ECD" w:rsidRDefault="00812ECD" w:rsidP="004C7077">
      <w:pPr>
        <w:numPr>
          <w:ilvl w:val="0"/>
          <w:numId w:val="14"/>
        </w:numPr>
        <w:jc w:val="both"/>
      </w:pPr>
      <w:r w:rsidRPr="00812ECD">
        <w:t>Firm Size as Related to Project Magnitude (Weight: 3) SCPDC will consider the size and capacity of the firm in relation to the magnitude of the project. This criterion will assess the firm's ability to effectively handle the scope and requirements of the project.</w:t>
      </w:r>
    </w:p>
    <w:p w14:paraId="77BBB3AD" w14:textId="5D26D2F5" w:rsidR="00812ECD" w:rsidRDefault="00812ECD" w:rsidP="004C7077">
      <w:pPr>
        <w:numPr>
          <w:ilvl w:val="0"/>
          <w:numId w:val="14"/>
        </w:numPr>
        <w:jc w:val="both"/>
      </w:pPr>
      <w:r w:rsidRPr="00812ECD">
        <w:t xml:space="preserve">Past Performance on Similar Commission Projects </w:t>
      </w:r>
      <w:bookmarkStart w:id="3" w:name="_Hlk137736737"/>
      <w:r w:rsidRPr="00812ECD">
        <w:t xml:space="preserve">(Weight: 6) </w:t>
      </w:r>
      <w:bookmarkEnd w:id="3"/>
      <w:r w:rsidRPr="00812ECD">
        <w:t>SCPDC will review the firm's past performance on projects undertaken for the Commission or similar organizations. This criterion will evaluate the firm's ability to deliver high-quality results and meet project goals.</w:t>
      </w:r>
    </w:p>
    <w:p w14:paraId="3D1C5DBD" w14:textId="77777777" w:rsidR="001C4884" w:rsidRPr="00812ECD" w:rsidRDefault="001C4884" w:rsidP="001C4884">
      <w:pPr>
        <w:jc w:val="both"/>
      </w:pPr>
    </w:p>
    <w:p w14:paraId="76E8E7AF" w14:textId="77777777" w:rsidR="00812ECD" w:rsidRPr="00812ECD" w:rsidRDefault="00812ECD" w:rsidP="004C7077">
      <w:pPr>
        <w:numPr>
          <w:ilvl w:val="0"/>
          <w:numId w:val="14"/>
        </w:numPr>
        <w:jc w:val="both"/>
      </w:pPr>
      <w:r w:rsidRPr="00812ECD">
        <w:t>Current Workload with Commission (Weight: 5) SCPDC will assess the firm's current workload with the Commission. This criterion will consider the firm's availability and capacity to allocate the necessary resources to the project.</w:t>
      </w:r>
    </w:p>
    <w:p w14:paraId="600D1DE2" w14:textId="77777777" w:rsidR="00812ECD" w:rsidRDefault="00812ECD" w:rsidP="004C7077">
      <w:pPr>
        <w:numPr>
          <w:ilvl w:val="0"/>
          <w:numId w:val="14"/>
        </w:numPr>
        <w:jc w:val="both"/>
      </w:pPr>
      <w:r w:rsidRPr="00812ECD">
        <w:t xml:space="preserve">Approach and Methodology </w:t>
      </w:r>
      <w:bookmarkStart w:id="4" w:name="_Hlk137736785"/>
      <w:r w:rsidRPr="00812ECD">
        <w:t xml:space="preserve">(Weight: 9) </w:t>
      </w:r>
      <w:bookmarkEnd w:id="4"/>
      <w:r w:rsidRPr="00812ECD">
        <w:t>SCPDC will evaluate the proposed approach and methodology for developing the Comprehensive Regional Safety Action Plan. This criterion will assess the clarity, comprehensiveness, and suitability of the proposed strategies and methods.</w:t>
      </w:r>
    </w:p>
    <w:p w14:paraId="4C9967A8" w14:textId="4C4E63BB" w:rsidR="00080776" w:rsidRPr="00812ECD" w:rsidRDefault="00080776" w:rsidP="004C7077">
      <w:pPr>
        <w:numPr>
          <w:ilvl w:val="0"/>
          <w:numId w:val="14"/>
        </w:numPr>
        <w:jc w:val="both"/>
      </w:pPr>
      <w:r w:rsidRPr="00080776">
        <w:t>MBE/DBE</w:t>
      </w:r>
      <w:r>
        <w:t xml:space="preserve"> Certified (</w:t>
      </w:r>
      <w:r w:rsidR="001D722A">
        <w:t xml:space="preserve">1 point) SCPDC will award 1 point to Certified Minority Business Enterprises/Disadvantaged Business Enterprises </w:t>
      </w:r>
    </w:p>
    <w:p w14:paraId="267B2A0D" w14:textId="43CB77BD" w:rsidR="00812ECD" w:rsidRPr="00812ECD" w:rsidRDefault="00812ECD" w:rsidP="004C7077">
      <w:pPr>
        <w:jc w:val="both"/>
      </w:pPr>
      <w:r w:rsidRPr="00812ECD">
        <w:t>Please ensure that your response addresses each of the above criteria, providing relevant information and evidence to support your qualification</w:t>
      </w:r>
      <w:r>
        <w:t>s.</w:t>
      </w:r>
    </w:p>
    <w:p w14:paraId="4B29D159" w14:textId="77777777" w:rsidR="002915D1" w:rsidRDefault="002915D1" w:rsidP="004C7077">
      <w:pPr>
        <w:jc w:val="both"/>
        <w:rPr>
          <w:b/>
          <w:bCs/>
        </w:rPr>
      </w:pPr>
    </w:p>
    <w:p w14:paraId="703B6A9B" w14:textId="70B31DA3" w:rsidR="007A1D9D" w:rsidRDefault="002915D1" w:rsidP="004C7077">
      <w:pPr>
        <w:jc w:val="both"/>
        <w:rPr>
          <w:b/>
          <w:bCs/>
        </w:rPr>
      </w:pPr>
      <w:r>
        <w:rPr>
          <w:b/>
          <w:bCs/>
        </w:rPr>
        <w:t>Proposal Submission</w:t>
      </w:r>
    </w:p>
    <w:p w14:paraId="52675512" w14:textId="77777777" w:rsidR="002915D1" w:rsidRPr="002915D1" w:rsidRDefault="002915D1" w:rsidP="002915D1">
      <w:pPr>
        <w:jc w:val="both"/>
      </w:pPr>
      <w:r w:rsidRPr="002915D1">
        <w:t>Respondents shall submit 4 bound and 1 electronic copy of the proposal to:</w:t>
      </w:r>
    </w:p>
    <w:p w14:paraId="64D99F00" w14:textId="77777777" w:rsidR="00296020" w:rsidRDefault="00296020" w:rsidP="002915D1">
      <w:pPr>
        <w:jc w:val="both"/>
        <w:sectPr w:rsidR="00296020" w:rsidSect="001C4884">
          <w:headerReference w:type="default" r:id="rId9"/>
          <w:pgSz w:w="12240" w:h="15840"/>
          <w:pgMar w:top="720" w:right="720" w:bottom="720" w:left="720" w:header="720" w:footer="720" w:gutter="0"/>
          <w:pgNumType w:start="0"/>
          <w:cols w:space="720"/>
          <w:titlePg/>
          <w:docGrid w:linePitch="360"/>
        </w:sectPr>
      </w:pPr>
    </w:p>
    <w:p w14:paraId="0A16C9CD" w14:textId="77777777" w:rsidR="002915D1" w:rsidRPr="002915D1" w:rsidRDefault="002915D1" w:rsidP="002915D1">
      <w:pPr>
        <w:jc w:val="both"/>
      </w:pPr>
      <w:r w:rsidRPr="002915D1">
        <w:t>South Central Planning and Development Commission</w:t>
      </w:r>
    </w:p>
    <w:p w14:paraId="27486423" w14:textId="77777777" w:rsidR="002915D1" w:rsidRPr="002915D1" w:rsidRDefault="002915D1" w:rsidP="002915D1">
      <w:pPr>
        <w:jc w:val="both"/>
      </w:pPr>
      <w:r w:rsidRPr="002915D1">
        <w:t>Attn: Joshua Manning, Planner IV</w:t>
      </w:r>
    </w:p>
    <w:p w14:paraId="1F366211" w14:textId="77777777" w:rsidR="002915D1" w:rsidRPr="002915D1" w:rsidRDefault="002915D1" w:rsidP="002915D1">
      <w:pPr>
        <w:jc w:val="both"/>
      </w:pPr>
      <w:r w:rsidRPr="002915D1">
        <w:t>Post Office Box 1870</w:t>
      </w:r>
    </w:p>
    <w:p w14:paraId="045CE75E" w14:textId="77777777" w:rsidR="002915D1" w:rsidRPr="002915D1" w:rsidRDefault="002915D1" w:rsidP="002915D1">
      <w:pPr>
        <w:jc w:val="both"/>
      </w:pPr>
      <w:r w:rsidRPr="002915D1">
        <w:t>Gray, LA 70359</w:t>
      </w:r>
    </w:p>
    <w:p w14:paraId="7B24B5AB" w14:textId="77777777" w:rsidR="002915D1" w:rsidRPr="002915D1" w:rsidRDefault="002915D1" w:rsidP="002915D1">
      <w:pPr>
        <w:jc w:val="both"/>
      </w:pPr>
      <w:r w:rsidRPr="002915D1">
        <w:t>(Mail Delivery)</w:t>
      </w:r>
    </w:p>
    <w:p w14:paraId="0A3A48F9" w14:textId="77777777" w:rsidR="002915D1" w:rsidRPr="002915D1" w:rsidRDefault="002915D1" w:rsidP="002915D1">
      <w:pPr>
        <w:jc w:val="both"/>
      </w:pPr>
      <w:r w:rsidRPr="002915D1">
        <w:t>South Central Planning and Development Commission</w:t>
      </w:r>
    </w:p>
    <w:p w14:paraId="790E2590" w14:textId="77777777" w:rsidR="002915D1" w:rsidRPr="002915D1" w:rsidRDefault="002915D1" w:rsidP="002915D1">
      <w:pPr>
        <w:jc w:val="both"/>
      </w:pPr>
      <w:r w:rsidRPr="002915D1">
        <w:t>Attn: Joshua Manning, Planner IV</w:t>
      </w:r>
    </w:p>
    <w:p w14:paraId="2EC3EC7D" w14:textId="77777777" w:rsidR="002915D1" w:rsidRPr="002915D1" w:rsidRDefault="002915D1" w:rsidP="002915D1">
      <w:pPr>
        <w:jc w:val="both"/>
      </w:pPr>
      <w:r w:rsidRPr="002915D1">
        <w:t xml:space="preserve">5058 W. Main St. </w:t>
      </w:r>
    </w:p>
    <w:p w14:paraId="2D5455E5" w14:textId="77777777" w:rsidR="002915D1" w:rsidRPr="002915D1" w:rsidRDefault="002915D1" w:rsidP="002915D1">
      <w:pPr>
        <w:jc w:val="both"/>
      </w:pPr>
      <w:r w:rsidRPr="002915D1">
        <w:t>Houma, LA 70360</w:t>
      </w:r>
    </w:p>
    <w:p w14:paraId="17700DE8" w14:textId="67C6A08F" w:rsidR="002915D1" w:rsidRPr="002915D1" w:rsidRDefault="002915D1" w:rsidP="002915D1">
      <w:pPr>
        <w:jc w:val="both"/>
      </w:pPr>
      <w:r w:rsidRPr="002915D1">
        <w:t>(Hand Delivery</w:t>
      </w:r>
      <w:r w:rsidR="00876B2D">
        <w:t>, FedEx, and UPS</w:t>
      </w:r>
      <w:r w:rsidRPr="002915D1">
        <w:t>)</w:t>
      </w:r>
    </w:p>
    <w:p w14:paraId="0BB5C010" w14:textId="77777777" w:rsidR="00296020" w:rsidRDefault="00296020" w:rsidP="002915D1">
      <w:pPr>
        <w:jc w:val="both"/>
        <w:sectPr w:rsidR="00296020" w:rsidSect="00296020">
          <w:type w:val="continuous"/>
          <w:pgSz w:w="12240" w:h="15840"/>
          <w:pgMar w:top="720" w:right="720" w:bottom="720" w:left="720" w:header="720" w:footer="720" w:gutter="0"/>
          <w:cols w:num="2" w:space="720"/>
          <w:docGrid w:linePitch="360"/>
        </w:sectPr>
      </w:pPr>
    </w:p>
    <w:p w14:paraId="425A6174" w14:textId="5927CA58" w:rsidR="002915D1" w:rsidRPr="002915D1" w:rsidRDefault="002915D1" w:rsidP="002915D1">
      <w:pPr>
        <w:jc w:val="both"/>
      </w:pPr>
      <w:r w:rsidRPr="002915D1">
        <w:t xml:space="preserve">The proposal must be received by the end of business, on </w:t>
      </w:r>
      <w:r w:rsidR="006C0EFA">
        <w:rPr>
          <w:b/>
          <w:bCs/>
        </w:rPr>
        <w:t>Thursday</w:t>
      </w:r>
      <w:r w:rsidRPr="00D42B39">
        <w:rPr>
          <w:b/>
          <w:bCs/>
        </w:rPr>
        <w:t>, J</w:t>
      </w:r>
      <w:r w:rsidR="006C0EFA">
        <w:rPr>
          <w:b/>
          <w:bCs/>
        </w:rPr>
        <w:t>uly</w:t>
      </w:r>
      <w:r w:rsidRPr="00D42B39">
        <w:rPr>
          <w:b/>
          <w:bCs/>
        </w:rPr>
        <w:t xml:space="preserve"> </w:t>
      </w:r>
      <w:r w:rsidR="00296020" w:rsidRPr="00D42B39">
        <w:rPr>
          <w:b/>
          <w:bCs/>
        </w:rPr>
        <w:t>2</w:t>
      </w:r>
      <w:r w:rsidR="006C0EFA">
        <w:rPr>
          <w:b/>
          <w:bCs/>
        </w:rPr>
        <w:t>7</w:t>
      </w:r>
      <w:r w:rsidRPr="00D42B39">
        <w:rPr>
          <w:b/>
          <w:bCs/>
        </w:rPr>
        <w:t>, 2023</w:t>
      </w:r>
      <w:r w:rsidRPr="002915D1">
        <w:t xml:space="preserve">. Please direct any questions to Lea Ann Rucker, Planner I via email at </w:t>
      </w:r>
      <w:hyperlink r:id="rId10" w:history="1">
        <w:r w:rsidR="001C4884" w:rsidRPr="00DB08D8">
          <w:rPr>
            <w:rStyle w:val="Hyperlink"/>
          </w:rPr>
          <w:t>leaannr@scpdc.org</w:t>
        </w:r>
      </w:hyperlink>
      <w:r w:rsidRPr="002915D1">
        <w:t xml:space="preserve">. A list of received questions and responses will be posted on our website. </w:t>
      </w:r>
    </w:p>
    <w:p w14:paraId="67B9F756" w14:textId="24B978E4" w:rsidR="007A1D9D" w:rsidRPr="002915D1" w:rsidRDefault="002915D1" w:rsidP="002915D1">
      <w:pPr>
        <w:jc w:val="both"/>
      </w:pPr>
      <w:r w:rsidRPr="002915D1">
        <w:t>SCPDC will not pay for the development or submission of any proposals in response to this RFQ. Furthermore, SCPDC reserves the right to reject any or all proposals.</w:t>
      </w:r>
    </w:p>
    <w:p w14:paraId="265410D4" w14:textId="75361B63" w:rsidR="006C0EFA" w:rsidRDefault="00872158" w:rsidP="00735BC8">
      <w:pPr>
        <w:jc w:val="both"/>
        <w:rPr>
          <w:b/>
          <w:bCs/>
        </w:rPr>
      </w:pPr>
      <w:r w:rsidRPr="00872158">
        <w:rPr>
          <w:b/>
          <w:bCs/>
        </w:rPr>
        <w:t>Timeline</w:t>
      </w:r>
    </w:p>
    <w:tbl>
      <w:tblPr>
        <w:tblStyle w:val="TableGrid"/>
        <w:tblW w:w="0" w:type="auto"/>
        <w:jc w:val="center"/>
        <w:tblLook w:val="04A0" w:firstRow="1" w:lastRow="0" w:firstColumn="1" w:lastColumn="0" w:noHBand="0" w:noVBand="1"/>
      </w:tblPr>
      <w:tblGrid>
        <w:gridCol w:w="5395"/>
        <w:gridCol w:w="3345"/>
      </w:tblGrid>
      <w:tr w:rsidR="006C0EFA" w:rsidRPr="006C0EFA" w14:paraId="7F2A1578" w14:textId="77777777" w:rsidTr="00912A7E">
        <w:trPr>
          <w:trHeight w:val="246"/>
          <w:jc w:val="center"/>
        </w:trPr>
        <w:tc>
          <w:tcPr>
            <w:tcW w:w="5395" w:type="dxa"/>
          </w:tcPr>
          <w:p w14:paraId="468E62E0" w14:textId="77777777" w:rsidR="006C0EFA" w:rsidRPr="006C0EFA" w:rsidRDefault="006C0EFA" w:rsidP="006C0EFA">
            <w:pPr>
              <w:jc w:val="both"/>
            </w:pPr>
            <w:r w:rsidRPr="006C0EFA">
              <w:t xml:space="preserve">RFQ Distribution (Website/Email) </w:t>
            </w:r>
          </w:p>
        </w:tc>
        <w:tc>
          <w:tcPr>
            <w:tcW w:w="3345" w:type="dxa"/>
          </w:tcPr>
          <w:p w14:paraId="5F73F926" w14:textId="44E4F485" w:rsidR="006C0EFA" w:rsidRPr="006C0EFA" w:rsidRDefault="006C0EFA" w:rsidP="006C0EFA">
            <w:pPr>
              <w:jc w:val="both"/>
              <w:rPr>
                <w:b/>
                <w:bCs/>
              </w:rPr>
            </w:pPr>
            <w:r>
              <w:rPr>
                <w:b/>
                <w:bCs/>
              </w:rPr>
              <w:t>June 27, 2023</w:t>
            </w:r>
          </w:p>
        </w:tc>
      </w:tr>
      <w:tr w:rsidR="006C0EFA" w:rsidRPr="006C0EFA" w14:paraId="7B5E3F30" w14:textId="77777777" w:rsidTr="00912A7E">
        <w:trPr>
          <w:trHeight w:val="259"/>
          <w:jc w:val="center"/>
        </w:trPr>
        <w:tc>
          <w:tcPr>
            <w:tcW w:w="5395" w:type="dxa"/>
          </w:tcPr>
          <w:p w14:paraId="0C86A7AA" w14:textId="77777777" w:rsidR="006C0EFA" w:rsidRPr="006C0EFA" w:rsidRDefault="006C0EFA" w:rsidP="006C0EFA">
            <w:pPr>
              <w:jc w:val="both"/>
            </w:pPr>
            <w:r w:rsidRPr="006C0EFA">
              <w:t xml:space="preserve">Advertise RFQ (Newspaper) </w:t>
            </w:r>
          </w:p>
        </w:tc>
        <w:tc>
          <w:tcPr>
            <w:tcW w:w="3345" w:type="dxa"/>
          </w:tcPr>
          <w:p w14:paraId="24DADD08" w14:textId="2683D11D" w:rsidR="006C0EFA" w:rsidRPr="006C0EFA" w:rsidRDefault="006C0EFA" w:rsidP="006C0EFA">
            <w:pPr>
              <w:jc w:val="both"/>
              <w:rPr>
                <w:b/>
                <w:bCs/>
              </w:rPr>
            </w:pPr>
            <w:r w:rsidRPr="006C0EFA">
              <w:rPr>
                <w:b/>
                <w:bCs/>
              </w:rPr>
              <w:t>June 29, 2023</w:t>
            </w:r>
          </w:p>
        </w:tc>
      </w:tr>
      <w:tr w:rsidR="006C0EFA" w:rsidRPr="006C0EFA" w14:paraId="31B7B32B" w14:textId="77777777" w:rsidTr="00912A7E">
        <w:trPr>
          <w:trHeight w:val="246"/>
          <w:jc w:val="center"/>
        </w:trPr>
        <w:tc>
          <w:tcPr>
            <w:tcW w:w="5395" w:type="dxa"/>
          </w:tcPr>
          <w:p w14:paraId="69AB18FC" w14:textId="78F3D77B" w:rsidR="006C0EFA" w:rsidRPr="006C0EFA" w:rsidRDefault="006C0EFA" w:rsidP="006C0EFA">
            <w:pPr>
              <w:jc w:val="both"/>
            </w:pPr>
            <w:r w:rsidRPr="006C0EFA">
              <w:t xml:space="preserve">RFQ Respondent Deadline </w:t>
            </w:r>
            <w:r w:rsidRPr="001452A7">
              <w:rPr>
                <w:b/>
                <w:bCs/>
              </w:rPr>
              <w:t xml:space="preserve">by </w:t>
            </w:r>
            <w:r w:rsidR="00C05D98">
              <w:rPr>
                <w:b/>
                <w:bCs/>
              </w:rPr>
              <w:t>End</w:t>
            </w:r>
            <w:r w:rsidR="001452A7" w:rsidRPr="001452A7">
              <w:rPr>
                <w:b/>
                <w:bCs/>
              </w:rPr>
              <w:t xml:space="preserve"> of Business</w:t>
            </w:r>
          </w:p>
        </w:tc>
        <w:tc>
          <w:tcPr>
            <w:tcW w:w="3345" w:type="dxa"/>
          </w:tcPr>
          <w:p w14:paraId="63EA61D2" w14:textId="7A601DAA" w:rsidR="006C0EFA" w:rsidRPr="006C0EFA" w:rsidRDefault="006C0EFA" w:rsidP="006C0EFA">
            <w:pPr>
              <w:jc w:val="both"/>
              <w:rPr>
                <w:b/>
                <w:bCs/>
              </w:rPr>
            </w:pPr>
            <w:r w:rsidRPr="006C0EFA">
              <w:rPr>
                <w:b/>
                <w:bCs/>
              </w:rPr>
              <w:t>July 27, 2023</w:t>
            </w:r>
          </w:p>
        </w:tc>
      </w:tr>
      <w:tr w:rsidR="006C0EFA" w:rsidRPr="006C0EFA" w14:paraId="6D2A80EC" w14:textId="77777777" w:rsidTr="00912A7E">
        <w:trPr>
          <w:trHeight w:val="259"/>
          <w:jc w:val="center"/>
        </w:trPr>
        <w:tc>
          <w:tcPr>
            <w:tcW w:w="5395" w:type="dxa"/>
          </w:tcPr>
          <w:p w14:paraId="6F615874" w14:textId="6676D947" w:rsidR="006C0EFA" w:rsidRPr="006C0EFA" w:rsidRDefault="006C0EFA" w:rsidP="006C0EFA">
            <w:pPr>
              <w:jc w:val="both"/>
            </w:pPr>
            <w:r w:rsidRPr="006C0EFA">
              <w:t xml:space="preserve">Evaluations of Qualifications </w:t>
            </w:r>
          </w:p>
        </w:tc>
        <w:tc>
          <w:tcPr>
            <w:tcW w:w="3345" w:type="dxa"/>
          </w:tcPr>
          <w:p w14:paraId="048B4032" w14:textId="17AFC609" w:rsidR="006C0EFA" w:rsidRPr="006C0EFA" w:rsidRDefault="006C0EFA" w:rsidP="006C0EFA">
            <w:pPr>
              <w:jc w:val="both"/>
              <w:rPr>
                <w:b/>
                <w:bCs/>
              </w:rPr>
            </w:pPr>
            <w:r w:rsidRPr="006C0EFA">
              <w:rPr>
                <w:b/>
                <w:bCs/>
              </w:rPr>
              <w:t>July 28, 2023 – August 1, 2023</w:t>
            </w:r>
          </w:p>
        </w:tc>
      </w:tr>
      <w:tr w:rsidR="006C0EFA" w:rsidRPr="006C0EFA" w14:paraId="1BCB3CE9" w14:textId="77777777" w:rsidTr="00912A7E">
        <w:trPr>
          <w:trHeight w:val="246"/>
          <w:jc w:val="center"/>
        </w:trPr>
        <w:tc>
          <w:tcPr>
            <w:tcW w:w="5395" w:type="dxa"/>
          </w:tcPr>
          <w:p w14:paraId="12A0D7DF" w14:textId="77777777" w:rsidR="006C0EFA" w:rsidRPr="006C0EFA" w:rsidRDefault="006C0EFA" w:rsidP="006C0EFA">
            <w:pPr>
              <w:jc w:val="both"/>
            </w:pPr>
            <w:r w:rsidRPr="006C0EFA">
              <w:t xml:space="preserve">Notification of Selected Consultant (Approximate) </w:t>
            </w:r>
          </w:p>
        </w:tc>
        <w:tc>
          <w:tcPr>
            <w:tcW w:w="3345" w:type="dxa"/>
          </w:tcPr>
          <w:p w14:paraId="3F863C7C" w14:textId="08764A13" w:rsidR="006C0EFA" w:rsidRPr="006C0EFA" w:rsidRDefault="006C0EFA" w:rsidP="006C0EFA">
            <w:pPr>
              <w:jc w:val="both"/>
              <w:rPr>
                <w:b/>
                <w:bCs/>
              </w:rPr>
            </w:pPr>
            <w:r w:rsidRPr="006C0EFA">
              <w:rPr>
                <w:b/>
                <w:bCs/>
              </w:rPr>
              <w:t>August 2, 2023</w:t>
            </w:r>
          </w:p>
        </w:tc>
      </w:tr>
    </w:tbl>
    <w:p w14:paraId="2B17F598" w14:textId="77777777" w:rsidR="006C0EFA" w:rsidRDefault="006C0EFA" w:rsidP="004C7077">
      <w:pPr>
        <w:jc w:val="both"/>
      </w:pPr>
    </w:p>
    <w:p w14:paraId="210DC132" w14:textId="43583C8E" w:rsidR="00872158" w:rsidRDefault="00872158" w:rsidP="004C7077">
      <w:pPr>
        <w:jc w:val="both"/>
      </w:pPr>
      <w:r>
        <w:t>Note: This RFQ is not a request for a detailed proposal. The selected firm will be invited to submit a detailed proposal in a subsequent phase of the selection process.</w:t>
      </w:r>
    </w:p>
    <w:p w14:paraId="6A00D9E9" w14:textId="0E7D338D" w:rsidR="007175F3" w:rsidRDefault="00872158" w:rsidP="004C7077">
      <w:pPr>
        <w:jc w:val="both"/>
      </w:pPr>
      <w:r>
        <w:t>We look forward to receiving your qualifications and appreciate your interest in assisting us in achieving our mission of Destination Zero Deaths on our region's roadways.</w:t>
      </w:r>
    </w:p>
    <w:p w14:paraId="0B78CBA7" w14:textId="77777777" w:rsidR="006B6CC6" w:rsidRDefault="006B6CC6" w:rsidP="004C7077">
      <w:pPr>
        <w:jc w:val="both"/>
      </w:pPr>
    </w:p>
    <w:sectPr w:rsidR="006B6CC6" w:rsidSect="002960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9761" w14:textId="77777777" w:rsidR="001C4884" w:rsidRDefault="001C4884" w:rsidP="001C4884">
      <w:pPr>
        <w:spacing w:after="0" w:line="240" w:lineRule="auto"/>
      </w:pPr>
      <w:r>
        <w:separator/>
      </w:r>
    </w:p>
  </w:endnote>
  <w:endnote w:type="continuationSeparator" w:id="0">
    <w:p w14:paraId="50C29071" w14:textId="77777777" w:rsidR="001C4884" w:rsidRDefault="001C4884" w:rsidP="001C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C2F7" w14:textId="77777777" w:rsidR="001C4884" w:rsidRDefault="001C4884" w:rsidP="001C4884">
      <w:pPr>
        <w:spacing w:after="0" w:line="240" w:lineRule="auto"/>
      </w:pPr>
      <w:r>
        <w:separator/>
      </w:r>
    </w:p>
  </w:footnote>
  <w:footnote w:type="continuationSeparator" w:id="0">
    <w:p w14:paraId="495CFA54" w14:textId="77777777" w:rsidR="001C4884" w:rsidRDefault="001C4884" w:rsidP="001C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108" w14:textId="3CA7F691" w:rsidR="001C4884" w:rsidRDefault="001C4884">
    <w:pPr>
      <w:pStyle w:val="Header"/>
    </w:pPr>
    <w:r>
      <w:rPr>
        <w:noProof/>
      </w:rPr>
      <w:drawing>
        <wp:inline distT="0" distB="0" distL="0" distR="0" wp14:anchorId="12AADBE4" wp14:editId="3FC26AAF">
          <wp:extent cx="1633337" cy="514350"/>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927" cy="515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26A"/>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E7D3A"/>
    <w:multiLevelType w:val="multilevel"/>
    <w:tmpl w:val="CFA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329F8"/>
    <w:multiLevelType w:val="hybridMultilevel"/>
    <w:tmpl w:val="71AA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5235"/>
    <w:multiLevelType w:val="multilevel"/>
    <w:tmpl w:val="1F80D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45596"/>
    <w:multiLevelType w:val="hybridMultilevel"/>
    <w:tmpl w:val="BB6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7069"/>
    <w:multiLevelType w:val="multilevel"/>
    <w:tmpl w:val="7F8A6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651EB"/>
    <w:multiLevelType w:val="multilevel"/>
    <w:tmpl w:val="D5D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04224"/>
    <w:multiLevelType w:val="multilevel"/>
    <w:tmpl w:val="3A0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B79E5"/>
    <w:multiLevelType w:val="hybridMultilevel"/>
    <w:tmpl w:val="F08C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61D4B"/>
    <w:multiLevelType w:val="multilevel"/>
    <w:tmpl w:val="FF16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8C131A"/>
    <w:multiLevelType w:val="multilevel"/>
    <w:tmpl w:val="E15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E12294"/>
    <w:multiLevelType w:val="hybridMultilevel"/>
    <w:tmpl w:val="9CACEB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35D6081"/>
    <w:multiLevelType w:val="multilevel"/>
    <w:tmpl w:val="EA3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77FF5"/>
    <w:multiLevelType w:val="multilevel"/>
    <w:tmpl w:val="4C6C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F167E"/>
    <w:multiLevelType w:val="multilevel"/>
    <w:tmpl w:val="2EFC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B312B1"/>
    <w:multiLevelType w:val="hybridMultilevel"/>
    <w:tmpl w:val="7A5E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D3881"/>
    <w:multiLevelType w:val="multilevel"/>
    <w:tmpl w:val="B9D2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1939FB"/>
    <w:multiLevelType w:val="hybridMultilevel"/>
    <w:tmpl w:val="03C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49FA"/>
    <w:multiLevelType w:val="multilevel"/>
    <w:tmpl w:val="84A4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DB489B"/>
    <w:multiLevelType w:val="multilevel"/>
    <w:tmpl w:val="6BB6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B87452"/>
    <w:multiLevelType w:val="multilevel"/>
    <w:tmpl w:val="74C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0438C0"/>
    <w:multiLevelType w:val="multilevel"/>
    <w:tmpl w:val="A438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6807F3"/>
    <w:multiLevelType w:val="hybridMultilevel"/>
    <w:tmpl w:val="1ED890EC"/>
    <w:lvl w:ilvl="0" w:tplc="4D505F5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436023"/>
    <w:multiLevelType w:val="multilevel"/>
    <w:tmpl w:val="CA0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72416"/>
    <w:multiLevelType w:val="multilevel"/>
    <w:tmpl w:val="3B3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E81303"/>
    <w:multiLevelType w:val="multilevel"/>
    <w:tmpl w:val="35E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B07ED"/>
    <w:multiLevelType w:val="hybridMultilevel"/>
    <w:tmpl w:val="BB6A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72BBC"/>
    <w:multiLevelType w:val="multilevel"/>
    <w:tmpl w:val="FAFE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90A69"/>
    <w:multiLevelType w:val="multilevel"/>
    <w:tmpl w:val="0700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4C2E0F"/>
    <w:multiLevelType w:val="multilevel"/>
    <w:tmpl w:val="5314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0A2722"/>
    <w:multiLevelType w:val="hybridMultilevel"/>
    <w:tmpl w:val="7A86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92A44"/>
    <w:multiLevelType w:val="multilevel"/>
    <w:tmpl w:val="4FA4CD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EE7CB1"/>
    <w:multiLevelType w:val="multilevel"/>
    <w:tmpl w:val="AF4EF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103C6B"/>
    <w:multiLevelType w:val="multilevel"/>
    <w:tmpl w:val="32C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177A87"/>
    <w:multiLevelType w:val="multilevel"/>
    <w:tmpl w:val="A68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872CDE"/>
    <w:multiLevelType w:val="multilevel"/>
    <w:tmpl w:val="1B46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4679498">
    <w:abstractNumId w:val="10"/>
  </w:num>
  <w:num w:numId="2" w16cid:durableId="1426339477">
    <w:abstractNumId w:val="18"/>
  </w:num>
  <w:num w:numId="3" w16cid:durableId="1106972445">
    <w:abstractNumId w:val="3"/>
  </w:num>
  <w:num w:numId="4" w16cid:durableId="1949583945">
    <w:abstractNumId w:val="28"/>
  </w:num>
  <w:num w:numId="5" w16cid:durableId="510216577">
    <w:abstractNumId w:val="31"/>
  </w:num>
  <w:num w:numId="6" w16cid:durableId="418646591">
    <w:abstractNumId w:val="16"/>
  </w:num>
  <w:num w:numId="7" w16cid:durableId="1153839147">
    <w:abstractNumId w:val="5"/>
  </w:num>
  <w:num w:numId="8" w16cid:durableId="298922574">
    <w:abstractNumId w:val="13"/>
  </w:num>
  <w:num w:numId="9" w16cid:durableId="436944916">
    <w:abstractNumId w:val="32"/>
  </w:num>
  <w:num w:numId="10" w16cid:durableId="1252743601">
    <w:abstractNumId w:val="8"/>
  </w:num>
  <w:num w:numId="11" w16cid:durableId="1716855779">
    <w:abstractNumId w:val="30"/>
  </w:num>
  <w:num w:numId="12" w16cid:durableId="273445815">
    <w:abstractNumId w:val="4"/>
  </w:num>
  <w:num w:numId="13" w16cid:durableId="813958172">
    <w:abstractNumId w:val="26"/>
  </w:num>
  <w:num w:numId="14" w16cid:durableId="672955584">
    <w:abstractNumId w:val="29"/>
  </w:num>
  <w:num w:numId="15" w16cid:durableId="309067793">
    <w:abstractNumId w:val="17"/>
  </w:num>
  <w:num w:numId="16" w16cid:durableId="1791779974">
    <w:abstractNumId w:val="15"/>
  </w:num>
  <w:num w:numId="17" w16cid:durableId="1789275286">
    <w:abstractNumId w:val="11"/>
  </w:num>
  <w:num w:numId="18" w16cid:durableId="855077431">
    <w:abstractNumId w:val="2"/>
  </w:num>
  <w:num w:numId="19" w16cid:durableId="1182472468">
    <w:abstractNumId w:val="35"/>
  </w:num>
  <w:num w:numId="20" w16cid:durableId="472604569">
    <w:abstractNumId w:val="22"/>
  </w:num>
  <w:num w:numId="21" w16cid:durableId="1003357819">
    <w:abstractNumId w:val="7"/>
  </w:num>
  <w:num w:numId="22" w16cid:durableId="1535654284">
    <w:abstractNumId w:val="14"/>
  </w:num>
  <w:num w:numId="23" w16cid:durableId="1911958099">
    <w:abstractNumId w:val="9"/>
  </w:num>
  <w:num w:numId="24" w16cid:durableId="1570118113">
    <w:abstractNumId w:val="25"/>
  </w:num>
  <w:num w:numId="25" w16cid:durableId="313873819">
    <w:abstractNumId w:val="33"/>
  </w:num>
  <w:num w:numId="26" w16cid:durableId="1617523759">
    <w:abstractNumId w:val="20"/>
  </w:num>
  <w:num w:numId="27" w16cid:durableId="1905985687">
    <w:abstractNumId w:val="19"/>
  </w:num>
  <w:num w:numId="28" w16cid:durableId="929585329">
    <w:abstractNumId w:val="27"/>
  </w:num>
  <w:num w:numId="29" w16cid:durableId="645668542">
    <w:abstractNumId w:val="34"/>
  </w:num>
  <w:num w:numId="30" w16cid:durableId="547377507">
    <w:abstractNumId w:val="6"/>
  </w:num>
  <w:num w:numId="31" w16cid:durableId="151140330">
    <w:abstractNumId w:val="1"/>
  </w:num>
  <w:num w:numId="32" w16cid:durableId="1416127784">
    <w:abstractNumId w:val="12"/>
  </w:num>
  <w:num w:numId="33" w16cid:durableId="58797517">
    <w:abstractNumId w:val="0"/>
  </w:num>
  <w:num w:numId="34" w16cid:durableId="1090933812">
    <w:abstractNumId w:val="24"/>
  </w:num>
  <w:num w:numId="35" w16cid:durableId="135806822">
    <w:abstractNumId w:val="21"/>
  </w:num>
  <w:num w:numId="36" w16cid:durableId="21112004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58"/>
    <w:rsid w:val="00002AE4"/>
    <w:rsid w:val="00080776"/>
    <w:rsid w:val="000D16DD"/>
    <w:rsid w:val="00114F2E"/>
    <w:rsid w:val="001452A7"/>
    <w:rsid w:val="00182933"/>
    <w:rsid w:val="001965BC"/>
    <w:rsid w:val="001C4884"/>
    <w:rsid w:val="001D722A"/>
    <w:rsid w:val="00246720"/>
    <w:rsid w:val="0025163B"/>
    <w:rsid w:val="00260AA5"/>
    <w:rsid w:val="002915D1"/>
    <w:rsid w:val="00296020"/>
    <w:rsid w:val="00297CA1"/>
    <w:rsid w:val="002A599B"/>
    <w:rsid w:val="003854FE"/>
    <w:rsid w:val="003A12A7"/>
    <w:rsid w:val="00431DBC"/>
    <w:rsid w:val="00444679"/>
    <w:rsid w:val="00496432"/>
    <w:rsid w:val="004C7077"/>
    <w:rsid w:val="0055096C"/>
    <w:rsid w:val="0057282D"/>
    <w:rsid w:val="00591208"/>
    <w:rsid w:val="005D3223"/>
    <w:rsid w:val="005E6BED"/>
    <w:rsid w:val="006134F0"/>
    <w:rsid w:val="00684B96"/>
    <w:rsid w:val="006917AE"/>
    <w:rsid w:val="006B6CC6"/>
    <w:rsid w:val="006C0EFA"/>
    <w:rsid w:val="0070059C"/>
    <w:rsid w:val="007175F3"/>
    <w:rsid w:val="00735BC8"/>
    <w:rsid w:val="0074456C"/>
    <w:rsid w:val="00747A93"/>
    <w:rsid w:val="007A1D9D"/>
    <w:rsid w:val="00812ECD"/>
    <w:rsid w:val="00844686"/>
    <w:rsid w:val="00855623"/>
    <w:rsid w:val="00872158"/>
    <w:rsid w:val="00876B2D"/>
    <w:rsid w:val="00880CBF"/>
    <w:rsid w:val="00926058"/>
    <w:rsid w:val="009B4328"/>
    <w:rsid w:val="00A677EA"/>
    <w:rsid w:val="00B57324"/>
    <w:rsid w:val="00BB7ACB"/>
    <w:rsid w:val="00C0220D"/>
    <w:rsid w:val="00C05D98"/>
    <w:rsid w:val="00C659DA"/>
    <w:rsid w:val="00C949E3"/>
    <w:rsid w:val="00CA54A2"/>
    <w:rsid w:val="00D0332E"/>
    <w:rsid w:val="00D42B39"/>
    <w:rsid w:val="00D77B54"/>
    <w:rsid w:val="00DF16F7"/>
    <w:rsid w:val="00E44E52"/>
    <w:rsid w:val="00EA5E9C"/>
    <w:rsid w:val="00F3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6AB4"/>
  <w15:chartTrackingRefBased/>
  <w15:docId w15:val="{867E8259-D278-4865-925E-D8FD1155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58"/>
    <w:pPr>
      <w:ind w:left="720"/>
      <w:contextualSpacing/>
    </w:pPr>
  </w:style>
  <w:style w:type="table" w:styleId="TableGrid">
    <w:name w:val="Table Grid"/>
    <w:basedOn w:val="TableNormal"/>
    <w:uiPriority w:val="39"/>
    <w:rsid w:val="00EA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ECD"/>
    <w:rPr>
      <w:sz w:val="16"/>
      <w:szCs w:val="16"/>
    </w:rPr>
  </w:style>
  <w:style w:type="paragraph" w:styleId="CommentText">
    <w:name w:val="annotation text"/>
    <w:basedOn w:val="Normal"/>
    <w:link w:val="CommentTextChar"/>
    <w:uiPriority w:val="99"/>
    <w:unhideWhenUsed/>
    <w:rsid w:val="00812ECD"/>
    <w:pPr>
      <w:spacing w:line="240" w:lineRule="auto"/>
    </w:pPr>
    <w:rPr>
      <w:sz w:val="20"/>
      <w:szCs w:val="20"/>
    </w:rPr>
  </w:style>
  <w:style w:type="character" w:customStyle="1" w:styleId="CommentTextChar">
    <w:name w:val="Comment Text Char"/>
    <w:basedOn w:val="DefaultParagraphFont"/>
    <w:link w:val="CommentText"/>
    <w:uiPriority w:val="99"/>
    <w:rsid w:val="00812ECD"/>
    <w:rPr>
      <w:sz w:val="20"/>
      <w:szCs w:val="20"/>
    </w:rPr>
  </w:style>
  <w:style w:type="paragraph" w:styleId="CommentSubject">
    <w:name w:val="annotation subject"/>
    <w:basedOn w:val="CommentText"/>
    <w:next w:val="CommentText"/>
    <w:link w:val="CommentSubjectChar"/>
    <w:uiPriority w:val="99"/>
    <w:semiHidden/>
    <w:unhideWhenUsed/>
    <w:rsid w:val="00812ECD"/>
    <w:rPr>
      <w:b/>
      <w:bCs/>
    </w:rPr>
  </w:style>
  <w:style w:type="character" w:customStyle="1" w:styleId="CommentSubjectChar">
    <w:name w:val="Comment Subject Char"/>
    <w:basedOn w:val="CommentTextChar"/>
    <w:link w:val="CommentSubject"/>
    <w:uiPriority w:val="99"/>
    <w:semiHidden/>
    <w:rsid w:val="00812ECD"/>
    <w:rPr>
      <w:b/>
      <w:bCs/>
      <w:sz w:val="20"/>
      <w:szCs w:val="20"/>
    </w:rPr>
  </w:style>
  <w:style w:type="paragraph" w:styleId="Header">
    <w:name w:val="header"/>
    <w:basedOn w:val="Normal"/>
    <w:link w:val="HeaderChar"/>
    <w:uiPriority w:val="99"/>
    <w:unhideWhenUsed/>
    <w:rsid w:val="001C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884"/>
  </w:style>
  <w:style w:type="paragraph" w:styleId="Footer">
    <w:name w:val="footer"/>
    <w:basedOn w:val="Normal"/>
    <w:link w:val="FooterChar"/>
    <w:uiPriority w:val="99"/>
    <w:unhideWhenUsed/>
    <w:rsid w:val="001C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84"/>
  </w:style>
  <w:style w:type="paragraph" w:styleId="NoSpacing">
    <w:name w:val="No Spacing"/>
    <w:link w:val="NoSpacingChar"/>
    <w:uiPriority w:val="1"/>
    <w:qFormat/>
    <w:rsid w:val="001C4884"/>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1C4884"/>
    <w:rPr>
      <w:rFonts w:eastAsiaTheme="minorEastAsia"/>
      <w:kern w:val="0"/>
      <w14:ligatures w14:val="none"/>
    </w:rPr>
  </w:style>
  <w:style w:type="character" w:styleId="Hyperlink">
    <w:name w:val="Hyperlink"/>
    <w:basedOn w:val="DefaultParagraphFont"/>
    <w:uiPriority w:val="99"/>
    <w:unhideWhenUsed/>
    <w:rsid w:val="001C4884"/>
    <w:rPr>
      <w:color w:val="0563C1" w:themeColor="hyperlink"/>
      <w:u w:val="single"/>
    </w:rPr>
  </w:style>
  <w:style w:type="character" w:styleId="UnresolvedMention">
    <w:name w:val="Unresolved Mention"/>
    <w:basedOn w:val="DefaultParagraphFont"/>
    <w:uiPriority w:val="99"/>
    <w:semiHidden/>
    <w:unhideWhenUsed/>
    <w:rsid w:val="001C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2804">
      <w:bodyDiv w:val="1"/>
      <w:marLeft w:val="0"/>
      <w:marRight w:val="0"/>
      <w:marTop w:val="0"/>
      <w:marBottom w:val="0"/>
      <w:divBdr>
        <w:top w:val="none" w:sz="0" w:space="0" w:color="auto"/>
        <w:left w:val="none" w:sz="0" w:space="0" w:color="auto"/>
        <w:bottom w:val="none" w:sz="0" w:space="0" w:color="auto"/>
        <w:right w:val="none" w:sz="0" w:space="0" w:color="auto"/>
      </w:divBdr>
    </w:div>
    <w:div w:id="727072963">
      <w:bodyDiv w:val="1"/>
      <w:marLeft w:val="0"/>
      <w:marRight w:val="0"/>
      <w:marTop w:val="0"/>
      <w:marBottom w:val="0"/>
      <w:divBdr>
        <w:top w:val="none" w:sz="0" w:space="0" w:color="auto"/>
        <w:left w:val="none" w:sz="0" w:space="0" w:color="auto"/>
        <w:bottom w:val="none" w:sz="0" w:space="0" w:color="auto"/>
        <w:right w:val="none" w:sz="0" w:space="0" w:color="auto"/>
      </w:divBdr>
    </w:div>
    <w:div w:id="895900047">
      <w:bodyDiv w:val="1"/>
      <w:marLeft w:val="0"/>
      <w:marRight w:val="0"/>
      <w:marTop w:val="0"/>
      <w:marBottom w:val="0"/>
      <w:divBdr>
        <w:top w:val="none" w:sz="0" w:space="0" w:color="auto"/>
        <w:left w:val="none" w:sz="0" w:space="0" w:color="auto"/>
        <w:bottom w:val="none" w:sz="0" w:space="0" w:color="auto"/>
        <w:right w:val="none" w:sz="0" w:space="0" w:color="auto"/>
      </w:divBdr>
    </w:div>
    <w:div w:id="1368870277">
      <w:bodyDiv w:val="1"/>
      <w:marLeft w:val="0"/>
      <w:marRight w:val="0"/>
      <w:marTop w:val="0"/>
      <w:marBottom w:val="0"/>
      <w:divBdr>
        <w:top w:val="none" w:sz="0" w:space="0" w:color="auto"/>
        <w:left w:val="none" w:sz="0" w:space="0" w:color="auto"/>
        <w:bottom w:val="none" w:sz="0" w:space="0" w:color="auto"/>
        <w:right w:val="none" w:sz="0" w:space="0" w:color="auto"/>
      </w:divBdr>
    </w:div>
    <w:div w:id="15417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annr@scpdc.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P.O. BOX 1870, GRAY, LA 70359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Streets fOR aLL: A Comprehensive Regional Safety Action Plan</dc:title>
  <dc:subject/>
  <dc:creator>LeaAnn Rucker</dc:creator>
  <cp:keywords/>
  <dc:description/>
  <cp:lastModifiedBy>LeaAnn Rucker</cp:lastModifiedBy>
  <cp:revision>34</cp:revision>
  <cp:lastPrinted>2023-06-26T17:19:00Z</cp:lastPrinted>
  <dcterms:created xsi:type="dcterms:W3CDTF">2023-06-23T19:15:00Z</dcterms:created>
  <dcterms:modified xsi:type="dcterms:W3CDTF">2023-06-26T21:53:00Z</dcterms:modified>
</cp:coreProperties>
</file>